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791C1" w14:textId="6775B568" w:rsidR="008C69E7" w:rsidRDefault="003F1D25" w:rsidP="008C69E7">
      <w:pPr>
        <w:pStyle w:val="Paper-Title"/>
        <w:spacing w:after="60"/>
      </w:pPr>
      <w:r>
        <w:t xml:space="preserve">Supply Voltage Biasing:  A Knob for Scaling </w:t>
      </w:r>
      <w:proofErr w:type="spellStart"/>
      <w:r>
        <w:t>FinFETs</w:t>
      </w:r>
      <w:proofErr w:type="spellEnd"/>
    </w:p>
    <w:p w14:paraId="4FBF5D5F" w14:textId="77777777" w:rsidR="008C69E7" w:rsidRDefault="008C69E7" w:rsidP="008C69E7">
      <w:pPr>
        <w:sectPr w:rsidR="008C69E7" w:rsidSect="003F1D25">
          <w:footerReference w:type="even" r:id="rId8"/>
          <w:pgSz w:w="12240" w:h="15840" w:code="1"/>
          <w:pgMar w:top="1440" w:right="1080" w:bottom="1440" w:left="1080" w:header="720" w:footer="720" w:gutter="0"/>
          <w:cols w:space="720"/>
        </w:sectPr>
      </w:pPr>
    </w:p>
    <w:p w14:paraId="7B6DF18E" w14:textId="063E9645" w:rsidR="008C69E7" w:rsidRDefault="003F1D25" w:rsidP="003F1D25">
      <w:pPr>
        <w:pStyle w:val="Author"/>
        <w:spacing w:after="0"/>
        <w:rPr>
          <w:spacing w:val="-2"/>
        </w:rPr>
      </w:pPr>
      <w:r>
        <w:rPr>
          <w:spacing w:val="-2"/>
        </w:rPr>
        <w:lastRenderedPageBreak/>
        <w:t xml:space="preserve">Andy </w:t>
      </w:r>
      <w:proofErr w:type="spellStart"/>
      <w:r>
        <w:rPr>
          <w:spacing w:val="-2"/>
        </w:rPr>
        <w:t>Whetzel</w:t>
      </w:r>
      <w:proofErr w:type="spellEnd"/>
      <w:r>
        <w:rPr>
          <w:spacing w:val="-2"/>
        </w:rPr>
        <w:t xml:space="preserve"> and Elena Weinberg</w:t>
      </w:r>
    </w:p>
    <w:p w14:paraId="43D8D1F1" w14:textId="38E5087D" w:rsidR="008C69E7" w:rsidRPr="00C02D73" w:rsidRDefault="003F1D25" w:rsidP="008C69E7">
      <w:pPr>
        <w:pStyle w:val="Affiliations"/>
        <w:rPr>
          <w:spacing w:val="-2"/>
        </w:rPr>
      </w:pPr>
      <w:r>
        <w:rPr>
          <w:spacing w:val="-2"/>
        </w:rPr>
        <w:t>ECE 6332 – Fall 2013</w:t>
      </w:r>
      <w:r w:rsidR="008C69E7">
        <w:rPr>
          <w:spacing w:val="-2"/>
        </w:rPr>
        <w:br/>
      </w:r>
      <w:r w:rsidR="008C69E7">
        <w:t>University of Virginia</w:t>
      </w:r>
      <w:r w:rsidR="008C69E7">
        <w:br/>
        <w:t>&lt;</w:t>
      </w:r>
      <w:r w:rsidR="006564DD">
        <w:t>arw5vy, ekw7ej</w:t>
      </w:r>
      <w:r w:rsidR="008C69E7">
        <w:t>&gt;@virginia.edu</w:t>
      </w:r>
    </w:p>
    <w:p w14:paraId="6FFAE00B" w14:textId="77777777" w:rsidR="008C69E7" w:rsidRDefault="008C69E7" w:rsidP="008C69E7">
      <w:pPr>
        <w:jc w:val="center"/>
        <w:sectPr w:rsidR="008C69E7" w:rsidSect="003F1D25">
          <w:type w:val="continuous"/>
          <w:pgSz w:w="12240" w:h="15840" w:code="1"/>
          <w:pgMar w:top="1440" w:right="1080" w:bottom="1440" w:left="1080" w:header="720" w:footer="720" w:gutter="0"/>
          <w:cols w:space="0"/>
        </w:sectPr>
      </w:pPr>
    </w:p>
    <w:p w14:paraId="0671E981" w14:textId="77777777" w:rsidR="008C69E7" w:rsidRDefault="008C69E7" w:rsidP="008C69E7">
      <w:pPr>
        <w:spacing w:after="0"/>
      </w:pPr>
      <w:r>
        <w:rPr>
          <w:b/>
          <w:sz w:val="24"/>
        </w:rPr>
        <w:lastRenderedPageBreak/>
        <w:t>ABSTRACT</w:t>
      </w:r>
    </w:p>
    <w:p w14:paraId="35940F22" w14:textId="3681AE2F" w:rsidR="0063201A" w:rsidRDefault="0072258F" w:rsidP="000323C6">
      <w:pPr>
        <w:spacing w:after="0"/>
        <w:rPr>
          <w:color w:val="000000"/>
          <w:szCs w:val="18"/>
          <w:shd w:val="clear" w:color="auto" w:fill="FFFFFF"/>
        </w:rPr>
      </w:pPr>
      <w:r>
        <w:t xml:space="preserve">As transistors continue to scale, short channel effects (SCEs) in planar </w:t>
      </w:r>
      <w:r w:rsidR="00B900CF">
        <w:t>metal-oxide semiconductor field-effect transistors (</w:t>
      </w:r>
      <w:r>
        <w:t>MOSFETs</w:t>
      </w:r>
      <w:r w:rsidR="00B900CF">
        <w:t>)</w:t>
      </w:r>
      <w:r>
        <w:t xml:space="preserve"> </w:t>
      </w:r>
      <w:r w:rsidR="00512BAE">
        <w:t>become</w:t>
      </w:r>
      <w:r>
        <w:t xml:space="preserve"> more prevalent.  These S</w:t>
      </w:r>
      <w:r w:rsidR="00D768EB">
        <w:t>CE</w:t>
      </w:r>
      <w:r w:rsidR="008A3A68">
        <w:t>s serve to reduce</w:t>
      </w:r>
      <w:r>
        <w:t xml:space="preserve"> the performance and success rate in </w:t>
      </w:r>
      <w:r w:rsidR="00683DB2">
        <w:t>MOS</w:t>
      </w:r>
      <w:r>
        <w:t>FETs.</w:t>
      </w:r>
      <w:r w:rsidR="00683DB2">
        <w:t xml:space="preserve">  </w:t>
      </w:r>
      <w:r w:rsidR="005C662A">
        <w:t>Fin-shaped field effect transistors (</w:t>
      </w:r>
      <w:proofErr w:type="spellStart"/>
      <w:r w:rsidR="000323C6" w:rsidRPr="000323C6">
        <w:rPr>
          <w:color w:val="000000"/>
          <w:szCs w:val="18"/>
          <w:shd w:val="clear" w:color="auto" w:fill="FFFFFF"/>
        </w:rPr>
        <w:t>FinFETs</w:t>
      </w:r>
      <w:proofErr w:type="spellEnd"/>
      <w:r w:rsidR="005C662A">
        <w:rPr>
          <w:color w:val="000000"/>
          <w:szCs w:val="18"/>
          <w:shd w:val="clear" w:color="auto" w:fill="FFFFFF"/>
        </w:rPr>
        <w:t>)</w:t>
      </w:r>
      <w:r w:rsidR="000323C6" w:rsidRPr="000323C6">
        <w:rPr>
          <w:color w:val="000000"/>
          <w:szCs w:val="18"/>
          <w:shd w:val="clear" w:color="auto" w:fill="FFFFFF"/>
        </w:rPr>
        <w:t xml:space="preserve"> are a new </w:t>
      </w:r>
      <w:r w:rsidR="003F1EAC">
        <w:rPr>
          <w:color w:val="000000"/>
          <w:szCs w:val="18"/>
          <w:shd w:val="clear" w:color="auto" w:fill="FFFFFF"/>
        </w:rPr>
        <w:t xml:space="preserve">MOSFET </w:t>
      </w:r>
      <w:r w:rsidR="000323C6" w:rsidRPr="000323C6">
        <w:rPr>
          <w:color w:val="000000"/>
          <w:szCs w:val="18"/>
          <w:shd w:val="clear" w:color="auto" w:fill="FFFFFF"/>
        </w:rPr>
        <w:t>technolo</w:t>
      </w:r>
      <w:r w:rsidR="00F054B6">
        <w:rPr>
          <w:color w:val="000000"/>
          <w:szCs w:val="18"/>
          <w:shd w:val="clear" w:color="auto" w:fill="FFFFFF"/>
        </w:rPr>
        <w:t xml:space="preserve">gy </w:t>
      </w:r>
      <w:r w:rsidR="00E30136">
        <w:rPr>
          <w:color w:val="000000"/>
          <w:szCs w:val="18"/>
          <w:shd w:val="clear" w:color="auto" w:fill="FFFFFF"/>
        </w:rPr>
        <w:t>popular for their resistance to SCEs and ability to scale</w:t>
      </w:r>
      <w:r w:rsidR="00F054B6">
        <w:rPr>
          <w:color w:val="000000"/>
          <w:szCs w:val="18"/>
          <w:shd w:val="clear" w:color="auto" w:fill="FFFFFF"/>
        </w:rPr>
        <w:t xml:space="preserve"> down </w:t>
      </w:r>
      <w:r w:rsidR="000323C6" w:rsidRPr="000323C6">
        <w:rPr>
          <w:color w:val="000000"/>
          <w:szCs w:val="18"/>
          <w:shd w:val="clear" w:color="auto" w:fill="FFFFFF"/>
        </w:rPr>
        <w:t xml:space="preserve">power consumption and area in integrated circuits (ICs). </w:t>
      </w:r>
      <w:r w:rsidR="000323C6">
        <w:rPr>
          <w:color w:val="000000"/>
          <w:szCs w:val="18"/>
          <w:shd w:val="clear" w:color="auto" w:fill="FFFFFF"/>
        </w:rPr>
        <w:t xml:space="preserve"> </w:t>
      </w:r>
      <w:r w:rsidR="000323C6" w:rsidRPr="000323C6">
        <w:rPr>
          <w:color w:val="000000"/>
          <w:szCs w:val="18"/>
          <w:shd w:val="clear" w:color="auto" w:fill="FFFFFF"/>
        </w:rPr>
        <w:t xml:space="preserve">However, due to a fin which protrudes from the Si body and acts as the channel, </w:t>
      </w:r>
      <w:proofErr w:type="spellStart"/>
      <w:r w:rsidR="000323C6" w:rsidRPr="000323C6">
        <w:rPr>
          <w:color w:val="000000"/>
          <w:szCs w:val="18"/>
          <w:shd w:val="clear" w:color="auto" w:fill="FFFFFF"/>
        </w:rPr>
        <w:t>FinFETs</w:t>
      </w:r>
      <w:proofErr w:type="spellEnd"/>
      <w:r w:rsidR="000323C6" w:rsidRPr="000323C6">
        <w:rPr>
          <w:color w:val="000000"/>
          <w:szCs w:val="18"/>
          <w:shd w:val="clear" w:color="auto" w:fill="FFFFFF"/>
        </w:rPr>
        <w:t xml:space="preserve"> are resistant to body effects.</w:t>
      </w:r>
      <w:r w:rsidR="00DE4535">
        <w:rPr>
          <w:color w:val="000000"/>
          <w:szCs w:val="18"/>
          <w:shd w:val="clear" w:color="auto" w:fill="FFFFFF"/>
        </w:rPr>
        <w:t xml:space="preserve"> </w:t>
      </w:r>
      <w:r w:rsidR="000323C6" w:rsidRPr="000323C6">
        <w:rPr>
          <w:color w:val="000000"/>
          <w:szCs w:val="18"/>
          <w:shd w:val="clear" w:color="auto" w:fill="FFFFFF"/>
        </w:rPr>
        <w:t xml:space="preserve"> </w:t>
      </w:r>
      <w:r w:rsidR="008C0B4B">
        <w:rPr>
          <w:color w:val="000000"/>
          <w:szCs w:val="18"/>
          <w:shd w:val="clear" w:color="auto" w:fill="FFFFFF"/>
        </w:rPr>
        <w:t>Therefore, a</w:t>
      </w:r>
      <w:r w:rsidR="0063201A">
        <w:rPr>
          <w:color w:val="000000"/>
          <w:szCs w:val="18"/>
          <w:shd w:val="clear" w:color="auto" w:fill="FFFFFF"/>
        </w:rPr>
        <w:t xml:space="preserve">s MOSFETs are scaled down and </w:t>
      </w:r>
      <w:proofErr w:type="spellStart"/>
      <w:r w:rsidR="0063201A">
        <w:rPr>
          <w:color w:val="000000"/>
          <w:szCs w:val="18"/>
          <w:shd w:val="clear" w:color="auto" w:fill="FFFFFF"/>
        </w:rPr>
        <w:t>FinFETs</w:t>
      </w:r>
      <w:proofErr w:type="spellEnd"/>
      <w:r w:rsidR="0063201A">
        <w:rPr>
          <w:color w:val="000000"/>
          <w:szCs w:val="18"/>
          <w:shd w:val="clear" w:color="auto" w:fill="FFFFFF"/>
        </w:rPr>
        <w:t xml:space="preserve"> beco</w:t>
      </w:r>
      <w:r w:rsidR="00FD55FD">
        <w:rPr>
          <w:color w:val="000000"/>
          <w:szCs w:val="18"/>
          <w:shd w:val="clear" w:color="auto" w:fill="FFFFFF"/>
        </w:rPr>
        <w:t>me more prevalent,</w:t>
      </w:r>
      <w:r w:rsidR="00D14121">
        <w:rPr>
          <w:color w:val="000000"/>
          <w:szCs w:val="18"/>
          <w:shd w:val="clear" w:color="auto" w:fill="FFFFFF"/>
        </w:rPr>
        <w:t xml:space="preserve"> an alternate</w:t>
      </w:r>
      <w:r w:rsidR="00F0739E">
        <w:rPr>
          <w:color w:val="000000"/>
          <w:szCs w:val="18"/>
          <w:shd w:val="clear" w:color="auto" w:fill="FFFFFF"/>
        </w:rPr>
        <w:t xml:space="preserve"> </w:t>
      </w:r>
      <w:r w:rsidR="006737A9">
        <w:rPr>
          <w:color w:val="000000"/>
          <w:szCs w:val="18"/>
          <w:shd w:val="clear" w:color="auto" w:fill="FFFFFF"/>
        </w:rPr>
        <w:t xml:space="preserve">knob </w:t>
      </w:r>
      <w:r w:rsidR="00F0739E">
        <w:rPr>
          <w:color w:val="000000"/>
          <w:szCs w:val="18"/>
          <w:shd w:val="clear" w:color="auto" w:fill="FFFFFF"/>
        </w:rPr>
        <w:t>to body biasing is required</w:t>
      </w:r>
      <w:r w:rsidR="00FD55FD">
        <w:rPr>
          <w:color w:val="000000"/>
          <w:szCs w:val="18"/>
          <w:shd w:val="clear" w:color="auto" w:fill="FFFFFF"/>
        </w:rPr>
        <w:t xml:space="preserve">.  </w:t>
      </w:r>
      <w:r w:rsidR="005D371D">
        <w:rPr>
          <w:color w:val="000000"/>
          <w:szCs w:val="18"/>
          <w:shd w:val="clear" w:color="auto" w:fill="FFFFFF"/>
        </w:rPr>
        <w:t>In this paper</w:t>
      </w:r>
      <w:r w:rsidR="005D371D" w:rsidRPr="000323C6">
        <w:rPr>
          <w:color w:val="000000"/>
          <w:szCs w:val="18"/>
          <w:shd w:val="clear" w:color="auto" w:fill="FFFFFF"/>
        </w:rPr>
        <w:t xml:space="preserve">, </w:t>
      </w:r>
      <w:r w:rsidR="005D371D">
        <w:rPr>
          <w:color w:val="000000"/>
          <w:szCs w:val="18"/>
          <w:shd w:val="clear" w:color="auto" w:fill="FFFFFF"/>
        </w:rPr>
        <w:t xml:space="preserve">we </w:t>
      </w:r>
      <w:r w:rsidR="008E5B2D">
        <w:rPr>
          <w:color w:val="000000"/>
          <w:szCs w:val="18"/>
          <w:shd w:val="clear" w:color="auto" w:fill="FFFFFF"/>
        </w:rPr>
        <w:t xml:space="preserve">present a new gate </w:t>
      </w:r>
      <w:r w:rsidR="00330CD7">
        <w:rPr>
          <w:color w:val="000000"/>
          <w:szCs w:val="18"/>
          <w:shd w:val="clear" w:color="auto" w:fill="FFFFFF"/>
        </w:rPr>
        <w:t xml:space="preserve">configuration </w:t>
      </w:r>
      <w:r w:rsidR="008E5B2D">
        <w:rPr>
          <w:color w:val="000000"/>
          <w:szCs w:val="18"/>
          <w:shd w:val="clear" w:color="auto" w:fill="FFFFFF"/>
        </w:rPr>
        <w:t xml:space="preserve">designed and implemented to enable supply voltage biasing. </w:t>
      </w:r>
      <w:r w:rsidR="005A4E8D">
        <w:rPr>
          <w:color w:val="000000"/>
          <w:szCs w:val="18"/>
          <w:shd w:val="clear" w:color="auto" w:fill="FFFFFF"/>
        </w:rPr>
        <w:t>With simulation</w:t>
      </w:r>
      <w:r w:rsidR="00116B51">
        <w:rPr>
          <w:color w:val="000000"/>
          <w:szCs w:val="18"/>
          <w:shd w:val="clear" w:color="auto" w:fill="FFFFFF"/>
        </w:rPr>
        <w:t>s</w:t>
      </w:r>
      <w:r w:rsidR="005A4E8D">
        <w:rPr>
          <w:color w:val="000000"/>
          <w:szCs w:val="18"/>
          <w:shd w:val="clear" w:color="auto" w:fill="FFFFFF"/>
        </w:rPr>
        <w:t xml:space="preserve"> using the </w:t>
      </w:r>
      <w:proofErr w:type="spellStart"/>
      <w:r w:rsidR="005A4E8D">
        <w:rPr>
          <w:color w:val="000000"/>
          <w:szCs w:val="18"/>
          <w:shd w:val="clear" w:color="auto" w:fill="FFFFFF"/>
        </w:rPr>
        <w:t>FreePDK</w:t>
      </w:r>
      <w:proofErr w:type="spellEnd"/>
      <w:r w:rsidR="005A4E8D">
        <w:rPr>
          <w:color w:val="000000"/>
          <w:szCs w:val="18"/>
          <w:shd w:val="clear" w:color="auto" w:fill="FFFFFF"/>
        </w:rPr>
        <w:t>, w</w:t>
      </w:r>
      <w:r w:rsidR="00C211AE">
        <w:rPr>
          <w:color w:val="000000"/>
          <w:szCs w:val="18"/>
          <w:shd w:val="clear" w:color="auto" w:fill="FFFFFF"/>
        </w:rPr>
        <w:t xml:space="preserve">e </w:t>
      </w:r>
      <w:r w:rsidR="00E02992">
        <w:rPr>
          <w:color w:val="000000"/>
          <w:szCs w:val="18"/>
          <w:shd w:val="clear" w:color="auto" w:fill="FFFFFF"/>
        </w:rPr>
        <w:t>saw</w:t>
      </w:r>
      <w:r w:rsidR="00C211AE">
        <w:rPr>
          <w:color w:val="000000"/>
          <w:szCs w:val="18"/>
          <w:shd w:val="clear" w:color="auto" w:fill="FFFFFF"/>
        </w:rPr>
        <w:t xml:space="preserve"> a 15% maximum </w:t>
      </w:r>
      <w:r w:rsidR="005E094E">
        <w:rPr>
          <w:color w:val="000000"/>
          <w:szCs w:val="18"/>
          <w:shd w:val="clear" w:color="auto" w:fill="FFFFFF"/>
        </w:rPr>
        <w:t xml:space="preserve">decrease </w:t>
      </w:r>
      <w:r w:rsidR="00C211AE">
        <w:rPr>
          <w:color w:val="000000"/>
          <w:szCs w:val="18"/>
          <w:shd w:val="clear" w:color="auto" w:fill="FFFFFF"/>
        </w:rPr>
        <w:t xml:space="preserve">in </w:t>
      </w:r>
      <w:r w:rsidR="005E094E">
        <w:rPr>
          <w:color w:val="000000"/>
          <w:szCs w:val="18"/>
          <w:shd w:val="clear" w:color="auto" w:fill="FFFFFF"/>
        </w:rPr>
        <w:t>delay</w:t>
      </w:r>
      <w:r w:rsidR="00C211AE">
        <w:rPr>
          <w:color w:val="000000"/>
          <w:szCs w:val="18"/>
          <w:shd w:val="clear" w:color="auto" w:fill="FFFFFF"/>
        </w:rPr>
        <w:t xml:space="preserve"> wit</w:t>
      </w:r>
      <w:r w:rsidR="003C461D">
        <w:rPr>
          <w:color w:val="000000"/>
          <w:szCs w:val="18"/>
          <w:shd w:val="clear" w:color="auto" w:fill="FFFFFF"/>
        </w:rPr>
        <w:t>h forward supply biasing and a 38% decrease in both static and active power under reverse bias compared to the design under no bias.</w:t>
      </w:r>
    </w:p>
    <w:p w14:paraId="37A3A5CB" w14:textId="77777777" w:rsidR="008C69E7" w:rsidRDefault="008C69E7" w:rsidP="008C69E7">
      <w:pPr>
        <w:pStyle w:val="Heading1"/>
        <w:spacing w:before="120"/>
      </w:pPr>
      <w:r>
        <w:t>INTRODUCTION</w:t>
      </w:r>
    </w:p>
    <w:p w14:paraId="7DF595A4" w14:textId="1FC5ABEB" w:rsidR="00A56720" w:rsidRDefault="00BB5D0B" w:rsidP="007A66B3">
      <w:pPr>
        <w:pStyle w:val="BodyTextIndent"/>
        <w:spacing w:after="120"/>
        <w:ind w:firstLine="0"/>
        <w:rPr>
          <w:color w:val="000000"/>
          <w:szCs w:val="18"/>
          <w:shd w:val="clear" w:color="auto" w:fill="FFFFFF"/>
        </w:rPr>
      </w:pPr>
      <w:r>
        <w:t xml:space="preserve">As transistors continue to scale, short channel effects (SCEs) in </w:t>
      </w:r>
      <w:r w:rsidR="0045069C">
        <w:t xml:space="preserve">traditional </w:t>
      </w:r>
      <w:r>
        <w:t xml:space="preserve">planar </w:t>
      </w:r>
      <w:r w:rsidR="00434FE2">
        <w:t>metal-oxide semiconductor field-effect transistors (</w:t>
      </w:r>
      <w:r>
        <w:t>MOSFETs</w:t>
      </w:r>
      <w:r w:rsidR="00434FE2">
        <w:t>)</w:t>
      </w:r>
      <w:r>
        <w:t xml:space="preserve"> b</w:t>
      </w:r>
      <w:r w:rsidR="000447BF">
        <w:t>ecome more prevalent.  These SCE</w:t>
      </w:r>
      <w:r>
        <w:t xml:space="preserve">s serve to decrease </w:t>
      </w:r>
      <w:r w:rsidR="00CC795C">
        <w:t xml:space="preserve">MOSFET </w:t>
      </w:r>
      <w:r w:rsidR="003E08AA">
        <w:t>performance and reliability</w:t>
      </w:r>
      <w:r>
        <w:t xml:space="preserve">.  </w:t>
      </w:r>
      <w:r w:rsidR="004B6015">
        <w:t>There are many emerging designs which mitigate these performance-hindering effects, including nanowires</w:t>
      </w:r>
      <w:r w:rsidR="00D13E75">
        <w:t xml:space="preserve"> [3</w:t>
      </w:r>
      <w:r w:rsidR="0096350E">
        <w:t>]</w:t>
      </w:r>
      <w:r w:rsidR="00D13E75">
        <w:t>, [10</w:t>
      </w:r>
      <w:r w:rsidR="00FD7BE1">
        <w:t>]</w:t>
      </w:r>
      <w:r w:rsidR="004B6015">
        <w:t>, high-k dielectrics</w:t>
      </w:r>
      <w:r w:rsidR="00E019B0">
        <w:t xml:space="preserve"> [1</w:t>
      </w:r>
      <w:r w:rsidR="00005E83">
        <w:t>]</w:t>
      </w:r>
      <w:r w:rsidR="004B6015">
        <w:t>, and tunnel FETs</w:t>
      </w:r>
      <w:r w:rsidR="007356AA">
        <w:t xml:space="preserve"> [4</w:t>
      </w:r>
      <w:r w:rsidR="001811B6">
        <w:t>]</w:t>
      </w:r>
      <w:r w:rsidR="007356AA">
        <w:t>, [5</w:t>
      </w:r>
      <w:r w:rsidR="00DD5E05">
        <w:t>]</w:t>
      </w:r>
      <w:r w:rsidR="004B6015">
        <w:t>.  Perhaps the most promising of these designs</w:t>
      </w:r>
      <w:r w:rsidR="006F5895">
        <w:t xml:space="preserve"> is the Fin-shaped field-effect transistor (</w:t>
      </w:r>
      <w:proofErr w:type="spellStart"/>
      <w:r w:rsidR="006F5895">
        <w:t>F</w:t>
      </w:r>
      <w:r w:rsidR="004B6015">
        <w:t>inFET</w:t>
      </w:r>
      <w:proofErr w:type="spellEnd"/>
      <w:r w:rsidR="006F5895">
        <w:t>)</w:t>
      </w:r>
      <w:r w:rsidR="00FD555B">
        <w:t xml:space="preserve">.  A </w:t>
      </w:r>
      <w:proofErr w:type="spellStart"/>
      <w:r w:rsidR="00FD555B">
        <w:t>F</w:t>
      </w:r>
      <w:r w:rsidR="004B6015">
        <w:t>inFET</w:t>
      </w:r>
      <w:proofErr w:type="spellEnd"/>
      <w:r w:rsidR="004B6015">
        <w:t xml:space="preserve"> is a three-dimensional structure with a gate </w:t>
      </w:r>
      <w:r w:rsidR="00391D45">
        <w:t>that</w:t>
      </w:r>
      <w:r w:rsidR="004B6015">
        <w:t xml:space="preserve"> wraps around a fin that protrudes from the bulk silicon.  </w:t>
      </w:r>
      <w:proofErr w:type="spellStart"/>
      <w:r w:rsidR="004B6015">
        <w:t>FinFETs</w:t>
      </w:r>
      <w:proofErr w:type="spellEnd"/>
      <w:r w:rsidR="004B6015">
        <w:t xml:space="preserve"> show considerable resistanc</w:t>
      </w:r>
      <w:r w:rsidR="00374186">
        <w:t>e to SCEs compared to planar MOS</w:t>
      </w:r>
      <w:r w:rsidR="004B6015">
        <w:t xml:space="preserve">FETs, as well as improved drive strength per unit </w:t>
      </w:r>
      <w:r w:rsidR="00A74FCE">
        <w:t>s</w:t>
      </w:r>
      <w:r w:rsidR="009B3AD2">
        <w:t>i</w:t>
      </w:r>
      <w:r w:rsidR="00A74FCE">
        <w:t>licon</w:t>
      </w:r>
      <w:r w:rsidR="0074675B">
        <w:t xml:space="preserve"> [7]</w:t>
      </w:r>
      <w:r w:rsidR="00537340">
        <w:t>.</w:t>
      </w:r>
      <w:r w:rsidR="00A460FA">
        <w:t xml:space="preserve">  </w:t>
      </w:r>
      <w:r w:rsidR="00B2253F">
        <w:t>Because</w:t>
      </w:r>
      <w:r w:rsidR="00F868B7">
        <w:t xml:space="preserve"> the silicon fin is</w:t>
      </w:r>
      <w:r w:rsidR="004B6015">
        <w:t xml:space="preserve"> often fabricated in a mann</w:t>
      </w:r>
      <w:r w:rsidR="00117AB1">
        <w:t>er that completely isolates it</w:t>
      </w:r>
      <w:r w:rsidR="004B6015">
        <w:t xml:space="preserve"> from the bu</w:t>
      </w:r>
      <w:r w:rsidR="00F07790">
        <w:t>lk</w:t>
      </w:r>
      <w:r w:rsidR="000E3ADD">
        <w:t>, they are immune to</w:t>
      </w:r>
      <w:r w:rsidR="004B6015">
        <w:t xml:space="preserve"> body effects</w:t>
      </w:r>
      <w:r w:rsidR="0001437A">
        <w:t xml:space="preserve"> [6</w:t>
      </w:r>
      <w:r w:rsidR="00BE153A">
        <w:t>]</w:t>
      </w:r>
      <w:r w:rsidR="004B6015">
        <w:t xml:space="preserve">.  </w:t>
      </w:r>
      <w:r w:rsidR="002F51E0">
        <w:t>Although these body effects can cause problems in the operation of FETs</w:t>
      </w:r>
      <w:r w:rsidR="00394A99">
        <w:t xml:space="preserve"> (e.g. performance degradation)</w:t>
      </w:r>
      <w:r w:rsidR="002F51E0">
        <w:t>, they can also be exploited</w:t>
      </w:r>
      <w:r w:rsidR="007162C8">
        <w:t xml:space="preserve"> as a knob</w:t>
      </w:r>
      <w:r w:rsidR="002F51E0">
        <w:t xml:space="preserve"> to modulate the threshold voltage of a transistor.  </w:t>
      </w:r>
      <w:r w:rsidR="007A66B3">
        <w:t>Therefore</w:t>
      </w:r>
      <w:r w:rsidR="00F319AE">
        <w:t>,</w:t>
      </w:r>
      <w:r w:rsidR="007A66B3">
        <w:t xml:space="preserve"> we seek a new knob as MOSFETs continue to scale and </w:t>
      </w:r>
      <w:proofErr w:type="spellStart"/>
      <w:r w:rsidR="007A66B3">
        <w:t>FinFETs</w:t>
      </w:r>
      <w:proofErr w:type="spellEnd"/>
      <w:r w:rsidR="007A66B3">
        <w:t xml:space="preserve"> become more prevalent.</w:t>
      </w:r>
      <w:r w:rsidR="007A66B3" w:rsidRPr="007A66B3">
        <w:rPr>
          <w:color w:val="000000"/>
          <w:szCs w:val="18"/>
          <w:shd w:val="clear" w:color="auto" w:fill="FFFFFF"/>
        </w:rPr>
        <w:t xml:space="preserve"> </w:t>
      </w:r>
      <w:r w:rsidR="007A66B3">
        <w:rPr>
          <w:color w:val="000000"/>
          <w:szCs w:val="18"/>
          <w:shd w:val="clear" w:color="auto" w:fill="FFFFFF"/>
        </w:rPr>
        <w:t xml:space="preserve"> </w:t>
      </w:r>
    </w:p>
    <w:p w14:paraId="4030DA5D" w14:textId="51E5ADBD" w:rsidR="00321A07" w:rsidRPr="00AB4577" w:rsidRDefault="00A067A9" w:rsidP="00AB4577">
      <w:r>
        <w:t xml:space="preserve">In this paper, we present a novel design for supply biasing gates, which can be implemented in both planar MOSFETs and </w:t>
      </w:r>
      <w:proofErr w:type="spellStart"/>
      <w:r>
        <w:t>FinFETs</w:t>
      </w:r>
      <w:proofErr w:type="spellEnd"/>
      <w:r>
        <w:t xml:space="preserve">.  We present the results for our preliminary simulations of inverter, NAND, and NOR gates in ring oscillator configurations.  </w:t>
      </w:r>
      <w:r w:rsidR="00926209">
        <w:t>We then present</w:t>
      </w:r>
      <w:r w:rsidR="001422BD">
        <w:t xml:space="preserve"> and discuss the design of an 8-</w:t>
      </w:r>
      <w:r w:rsidR="00926209">
        <w:t xml:space="preserve">bit ripple carry adder implementing our supply bias design, and compare simulation results from that to results of a similar ripple carry adder which does not implement our design.  </w:t>
      </w:r>
      <w:r w:rsidR="000F08A5">
        <w:t>When discussing the 8-</w:t>
      </w:r>
      <w:r w:rsidR="00926209">
        <w:t xml:space="preserve">bit adder, </w:t>
      </w:r>
      <w:r w:rsidR="00C26F81">
        <w:t xml:space="preserve">we </w:t>
      </w:r>
      <w:r w:rsidR="00926209">
        <w:t xml:space="preserve">first consider a non-biased adder </w:t>
      </w:r>
      <w:r w:rsidR="006F420A">
        <w:t>that consists of</w:t>
      </w:r>
      <w:r w:rsidR="00926209">
        <w:t xml:space="preserve"> </w:t>
      </w:r>
      <w:r w:rsidR="000B4DEA">
        <w:t xml:space="preserve">half the number of transistors used in </w:t>
      </w:r>
      <w:r w:rsidR="00504E24">
        <w:t>our supply bias gate design</w:t>
      </w:r>
      <w:r w:rsidR="004606B6">
        <w:t xml:space="preserve">.  Then, we </w:t>
      </w:r>
      <w:r w:rsidR="00926209">
        <w:t xml:space="preserve">evaluate a non-biased adder </w:t>
      </w:r>
      <w:r w:rsidR="003472ED">
        <w:t>with</w:t>
      </w:r>
      <w:r w:rsidR="00926209">
        <w:t xml:space="preserve"> transistors</w:t>
      </w:r>
      <w:r w:rsidR="00C973C4">
        <w:t xml:space="preserve"> twice as large as those in our supply bias design</w:t>
      </w:r>
      <w:r w:rsidR="00926209">
        <w:t xml:space="preserve">, </w:t>
      </w:r>
      <w:r w:rsidR="00804D2E">
        <w:t>in order</w:t>
      </w:r>
      <w:r w:rsidR="00926209">
        <w:t xml:space="preserve"> to </w:t>
      </w:r>
      <w:r w:rsidR="00371DCB">
        <w:t>conduct a comparison between two configurations</w:t>
      </w:r>
      <w:r w:rsidR="007A7B29">
        <w:t xml:space="preserve"> that have</w:t>
      </w:r>
      <w:r w:rsidR="00371DCB">
        <w:t xml:space="preserve"> similar surface </w:t>
      </w:r>
      <w:r w:rsidR="00926209">
        <w:t>area</w:t>
      </w:r>
      <w:r w:rsidR="007A7B29">
        <w:t xml:space="preserve"> requirements</w:t>
      </w:r>
      <w:r w:rsidR="00926209">
        <w:t xml:space="preserve">.  Our goal is to prove that </w:t>
      </w:r>
      <w:r w:rsidR="00926209">
        <w:lastRenderedPageBreak/>
        <w:t>the supply biased design can effectively decrease delay in forward bias and decrease static power in reverse bias.</w:t>
      </w:r>
    </w:p>
    <w:p w14:paraId="2A729812" w14:textId="5B01F436" w:rsidR="008C69E7" w:rsidRDefault="00175122" w:rsidP="008C69E7">
      <w:pPr>
        <w:pStyle w:val="Heading1"/>
        <w:spacing w:before="120"/>
      </w:pPr>
      <w:r>
        <w:t>RELATED WORK</w:t>
      </w:r>
    </w:p>
    <w:p w14:paraId="3644BA1F" w14:textId="4FCB8044" w:rsidR="008C69E7" w:rsidRPr="00880C20" w:rsidRDefault="009F717C" w:rsidP="008C69E7">
      <w:pPr>
        <w:pStyle w:val="BodyTextIndent"/>
        <w:spacing w:after="120"/>
        <w:ind w:firstLine="0"/>
        <w:rPr>
          <w:color w:val="000000"/>
          <w:szCs w:val="18"/>
          <w:shd w:val="clear" w:color="auto" w:fill="FFFFFF"/>
        </w:rPr>
      </w:pPr>
      <w:r>
        <w:rPr>
          <w:color w:val="000000"/>
          <w:szCs w:val="18"/>
          <w:shd w:val="clear" w:color="auto" w:fill="FFFFFF"/>
        </w:rPr>
        <w:t>Adaptive supply voltage</w:t>
      </w:r>
      <w:r w:rsidR="00147B46">
        <w:rPr>
          <w:color w:val="000000"/>
          <w:szCs w:val="18"/>
          <w:shd w:val="clear" w:color="auto" w:fill="FFFFFF"/>
        </w:rPr>
        <w:t xml:space="preserve"> is an active area of research.  </w:t>
      </w:r>
      <w:r w:rsidR="00501F75">
        <w:rPr>
          <w:color w:val="000000"/>
          <w:szCs w:val="18"/>
          <w:shd w:val="clear" w:color="auto" w:fill="FFFFFF"/>
        </w:rPr>
        <w:t xml:space="preserve">As far as we are aware, no papers have been written </w:t>
      </w:r>
      <w:r w:rsidR="00673BEB">
        <w:rPr>
          <w:color w:val="000000"/>
          <w:szCs w:val="18"/>
          <w:shd w:val="clear" w:color="auto" w:fill="FFFFFF"/>
        </w:rPr>
        <w:t xml:space="preserve">on </w:t>
      </w:r>
      <w:r w:rsidR="00501F75">
        <w:rPr>
          <w:color w:val="000000"/>
          <w:szCs w:val="18"/>
          <w:shd w:val="clear" w:color="auto" w:fill="FFFFFF"/>
        </w:rPr>
        <w:t xml:space="preserve">our proposed </w:t>
      </w:r>
      <w:r w:rsidR="00A53B2D">
        <w:rPr>
          <w:color w:val="000000"/>
          <w:szCs w:val="18"/>
          <w:shd w:val="clear" w:color="auto" w:fill="FFFFFF"/>
        </w:rPr>
        <w:t xml:space="preserve">supply bias gate </w:t>
      </w:r>
      <w:r w:rsidR="00501F75">
        <w:rPr>
          <w:color w:val="000000"/>
          <w:szCs w:val="18"/>
          <w:shd w:val="clear" w:color="auto" w:fill="FFFFFF"/>
        </w:rPr>
        <w:t xml:space="preserve">design </w:t>
      </w:r>
      <w:r w:rsidR="00282834">
        <w:rPr>
          <w:color w:val="000000"/>
          <w:szCs w:val="18"/>
          <w:shd w:val="clear" w:color="auto" w:fill="FFFFFF"/>
        </w:rPr>
        <w:t>or</w:t>
      </w:r>
      <w:r w:rsidR="00501F75">
        <w:rPr>
          <w:color w:val="000000"/>
          <w:szCs w:val="18"/>
          <w:shd w:val="clear" w:color="auto" w:fill="FFFFFF"/>
        </w:rPr>
        <w:t xml:space="preserve"> on supply</w:t>
      </w:r>
      <w:r w:rsidR="003A5113">
        <w:rPr>
          <w:color w:val="000000"/>
          <w:szCs w:val="18"/>
          <w:shd w:val="clear" w:color="auto" w:fill="FFFFFF"/>
        </w:rPr>
        <w:t xml:space="preserve"> voltage biasing with respect to </w:t>
      </w:r>
      <w:r w:rsidR="00CA0982">
        <w:rPr>
          <w:color w:val="000000"/>
          <w:szCs w:val="18"/>
          <w:shd w:val="clear" w:color="auto" w:fill="FFFFFF"/>
        </w:rPr>
        <w:t xml:space="preserve">scaling </w:t>
      </w:r>
      <w:proofErr w:type="spellStart"/>
      <w:r w:rsidR="00501F75">
        <w:rPr>
          <w:color w:val="000000"/>
          <w:szCs w:val="18"/>
          <w:shd w:val="clear" w:color="auto" w:fill="FFFFFF"/>
        </w:rPr>
        <w:t>FinFETs</w:t>
      </w:r>
      <w:proofErr w:type="spellEnd"/>
      <w:r w:rsidR="003376B6">
        <w:rPr>
          <w:color w:val="000000"/>
          <w:szCs w:val="18"/>
          <w:shd w:val="clear" w:color="auto" w:fill="FFFFFF"/>
        </w:rPr>
        <w:t xml:space="preserve">. </w:t>
      </w:r>
      <w:r w:rsidR="006E1FC4">
        <w:rPr>
          <w:color w:val="000000"/>
          <w:szCs w:val="18"/>
          <w:shd w:val="clear" w:color="auto" w:fill="FFFFFF"/>
        </w:rPr>
        <w:t xml:space="preserve"> </w:t>
      </w:r>
      <w:r w:rsidR="00CC4758">
        <w:rPr>
          <w:color w:val="000000"/>
          <w:szCs w:val="18"/>
          <w:shd w:val="clear" w:color="auto" w:fill="FFFFFF"/>
        </w:rPr>
        <w:t xml:space="preserve">The most closely related approach to our work is in adaptive body </w:t>
      </w:r>
      <w:proofErr w:type="spellStart"/>
      <w:r w:rsidR="00CC4758">
        <w:rPr>
          <w:color w:val="000000"/>
          <w:szCs w:val="18"/>
          <w:shd w:val="clear" w:color="auto" w:fill="FFFFFF"/>
        </w:rPr>
        <w:t>biasaing</w:t>
      </w:r>
      <w:proofErr w:type="spellEnd"/>
      <w:r w:rsidR="00CC4758">
        <w:rPr>
          <w:color w:val="000000"/>
          <w:szCs w:val="18"/>
          <w:shd w:val="clear" w:color="auto" w:fill="FFFFFF"/>
        </w:rPr>
        <w:t>.</w:t>
      </w:r>
      <w:r w:rsidR="00BF78E8">
        <w:rPr>
          <w:color w:val="000000"/>
          <w:szCs w:val="18"/>
          <w:shd w:val="clear" w:color="auto" w:fill="FFFFFF"/>
        </w:rPr>
        <w:t xml:space="preserve">  In [8</w:t>
      </w:r>
      <w:r w:rsidR="001359E4">
        <w:rPr>
          <w:color w:val="000000"/>
          <w:szCs w:val="18"/>
          <w:shd w:val="clear" w:color="auto" w:fill="FFFFFF"/>
        </w:rPr>
        <w:t xml:space="preserve">], </w:t>
      </w:r>
      <w:proofErr w:type="spellStart"/>
      <w:r w:rsidR="001359E4">
        <w:rPr>
          <w:color w:val="000000"/>
          <w:szCs w:val="18"/>
          <w:shd w:val="clear" w:color="auto" w:fill="FFFFFF"/>
        </w:rPr>
        <w:t>Tschanz</w:t>
      </w:r>
      <w:proofErr w:type="spellEnd"/>
      <w:r w:rsidR="001359E4">
        <w:rPr>
          <w:color w:val="000000"/>
          <w:szCs w:val="18"/>
          <w:shd w:val="clear" w:color="auto" w:fill="FFFFFF"/>
        </w:rPr>
        <w:t xml:space="preserve"> et al.</w:t>
      </w:r>
      <w:r w:rsidR="00687E5B">
        <w:rPr>
          <w:color w:val="000000"/>
          <w:szCs w:val="18"/>
          <w:shd w:val="clear" w:color="auto" w:fill="FFFFFF"/>
        </w:rPr>
        <w:t xml:space="preserve"> use bidirectional adaptive body bias to compensate for local and global die variations.</w:t>
      </w:r>
      <w:r w:rsidR="00A70014">
        <w:rPr>
          <w:color w:val="000000"/>
          <w:szCs w:val="18"/>
          <w:shd w:val="clear" w:color="auto" w:fill="FFFFFF"/>
        </w:rPr>
        <w:t xml:space="preserve">  </w:t>
      </w:r>
      <w:r w:rsidR="00DD1A5E">
        <w:rPr>
          <w:color w:val="000000"/>
          <w:szCs w:val="18"/>
          <w:shd w:val="clear" w:color="auto" w:fill="FFFFFF"/>
        </w:rPr>
        <w:t>There are also a number of evaluations of</w:t>
      </w:r>
      <w:r w:rsidR="00A15BB1">
        <w:rPr>
          <w:color w:val="000000"/>
          <w:szCs w:val="18"/>
          <w:shd w:val="clear" w:color="auto" w:fill="FFFFFF"/>
        </w:rPr>
        <w:t xml:space="preserve"> supply voltage bias and body bias for typical planar MOSFETs.  </w:t>
      </w:r>
      <w:r w:rsidR="00E75C23">
        <w:rPr>
          <w:color w:val="000000"/>
          <w:szCs w:val="18"/>
          <w:shd w:val="clear" w:color="auto" w:fill="FFFFFF"/>
        </w:rPr>
        <w:t>In [2</w:t>
      </w:r>
      <w:r w:rsidR="00003056">
        <w:rPr>
          <w:color w:val="000000"/>
          <w:szCs w:val="18"/>
          <w:shd w:val="clear" w:color="auto" w:fill="FFFFFF"/>
        </w:rPr>
        <w:t>]</w:t>
      </w:r>
      <w:r w:rsidR="00EF18BC">
        <w:rPr>
          <w:color w:val="000000"/>
          <w:szCs w:val="18"/>
          <w:shd w:val="clear" w:color="auto" w:fill="FFFFFF"/>
        </w:rPr>
        <w:t xml:space="preserve">, </w:t>
      </w:r>
      <w:r w:rsidR="00003056">
        <w:rPr>
          <w:color w:val="000000"/>
          <w:szCs w:val="18"/>
          <w:shd w:val="clear" w:color="auto" w:fill="FFFFFF"/>
        </w:rPr>
        <w:t xml:space="preserve">Chen et al. present a detailed comparison between adaptive body bias and adaptive source voltage </w:t>
      </w:r>
      <w:r w:rsidR="004944AC">
        <w:rPr>
          <w:color w:val="000000"/>
          <w:szCs w:val="18"/>
          <w:shd w:val="clear" w:color="auto" w:fill="FFFFFF"/>
        </w:rPr>
        <w:t>for managing delay and leakage due to process variation</w:t>
      </w:r>
      <w:r w:rsidR="00003056">
        <w:rPr>
          <w:color w:val="000000"/>
          <w:szCs w:val="18"/>
          <w:shd w:val="clear" w:color="auto" w:fill="FFFFFF"/>
        </w:rPr>
        <w:t xml:space="preserve">.  </w:t>
      </w:r>
      <w:r w:rsidR="00710854">
        <w:rPr>
          <w:color w:val="000000"/>
          <w:szCs w:val="18"/>
          <w:shd w:val="clear" w:color="auto" w:fill="FFFFFF"/>
        </w:rPr>
        <w:t>Similarly, i</w:t>
      </w:r>
      <w:r w:rsidR="00D93051">
        <w:rPr>
          <w:color w:val="000000"/>
          <w:szCs w:val="18"/>
          <w:shd w:val="clear" w:color="auto" w:fill="FFFFFF"/>
        </w:rPr>
        <w:t xml:space="preserve">n [9], </w:t>
      </w:r>
      <w:proofErr w:type="spellStart"/>
      <w:r w:rsidR="005C6BBA">
        <w:rPr>
          <w:color w:val="000000"/>
          <w:szCs w:val="18"/>
          <w:shd w:val="clear" w:color="auto" w:fill="FFFFFF"/>
        </w:rPr>
        <w:t>Tschanz</w:t>
      </w:r>
      <w:proofErr w:type="spellEnd"/>
      <w:r w:rsidR="005C6BBA">
        <w:rPr>
          <w:color w:val="000000"/>
          <w:szCs w:val="18"/>
          <w:shd w:val="clear" w:color="auto" w:fill="FFFFFF"/>
        </w:rPr>
        <w:t xml:space="preserve"> et al.</w:t>
      </w:r>
      <w:r w:rsidR="00710854">
        <w:rPr>
          <w:color w:val="000000"/>
          <w:szCs w:val="18"/>
          <w:shd w:val="clear" w:color="auto" w:fill="FFFFFF"/>
        </w:rPr>
        <w:t xml:space="preserve"> evaluate the effectiveness of adaptive supply voltage and body bias for influencing variations in high performance low power microprocessors.</w:t>
      </w:r>
    </w:p>
    <w:p w14:paraId="05A509E9" w14:textId="5D8F4487" w:rsidR="008C69E7" w:rsidRDefault="00876B5F" w:rsidP="008C69E7">
      <w:pPr>
        <w:pStyle w:val="Heading1"/>
        <w:spacing w:before="120"/>
      </w:pPr>
      <w:r>
        <w:t>SIMULATION</w:t>
      </w:r>
    </w:p>
    <w:p w14:paraId="15731352" w14:textId="7AB8DFB1" w:rsidR="00E50D8A" w:rsidRPr="00E50D8A" w:rsidRDefault="00E50D8A" w:rsidP="00E50D8A">
      <w:r>
        <w:t xml:space="preserve">All simulations are conducted using the Cadence design environment and the 45 nm </w:t>
      </w:r>
      <w:proofErr w:type="spellStart"/>
      <w:r>
        <w:t>FreePDK</w:t>
      </w:r>
      <w:proofErr w:type="spellEnd"/>
      <w:r>
        <w:t>.</w:t>
      </w:r>
    </w:p>
    <w:p w14:paraId="3A687B1F" w14:textId="16E675D3" w:rsidR="0049761B" w:rsidRPr="0049761B" w:rsidRDefault="003661CC" w:rsidP="0049761B">
      <w:pPr>
        <w:pStyle w:val="Heading2"/>
      </w:pPr>
      <w:r w:rsidRPr="003661CC">
        <w:t>Supply Biased Inverter Gate</w:t>
      </w:r>
    </w:p>
    <w:p w14:paraId="7460B65B" w14:textId="716F6E18" w:rsidR="00F95285" w:rsidRPr="00F95285" w:rsidRDefault="00F95285" w:rsidP="00F95285">
      <w:pPr>
        <w:jc w:val="center"/>
        <w:rPr>
          <w:b/>
        </w:rPr>
      </w:pPr>
      <w:r>
        <w:rPr>
          <w:b/>
        </w:rPr>
        <w:t>Supply Biased Inverte</w:t>
      </w:r>
      <w:r w:rsidR="006E259F">
        <w:rPr>
          <w:b/>
        </w:rPr>
        <w:t>r Gate Configuration</w:t>
      </w:r>
    </w:p>
    <w:p w14:paraId="559998A7" w14:textId="3FD57EE6" w:rsidR="0002554D" w:rsidRDefault="00DC160E" w:rsidP="008C69E7">
      <w:pPr>
        <w:spacing w:after="120"/>
      </w:pPr>
      <w:r>
        <w:rPr>
          <w:noProof/>
        </w:rPr>
        <w:drawing>
          <wp:inline distT="0" distB="0" distL="0" distR="0" wp14:anchorId="7C721BE3" wp14:editId="6660184C">
            <wp:extent cx="3049270" cy="2511844"/>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lVGate.png"/>
                    <pic:cNvPicPr/>
                  </pic:nvPicPr>
                  <pic:blipFill>
                    <a:blip r:embed="rId9">
                      <a:extLst>
                        <a:ext uri="{28A0092B-C50C-407E-A947-70E740481C1C}">
                          <a14:useLocalDpi xmlns:a14="http://schemas.microsoft.com/office/drawing/2010/main" val="0"/>
                        </a:ext>
                      </a:extLst>
                    </a:blip>
                    <a:stretch>
                      <a:fillRect/>
                    </a:stretch>
                  </pic:blipFill>
                  <pic:spPr>
                    <a:xfrm>
                      <a:off x="0" y="0"/>
                      <a:ext cx="3049270" cy="2511844"/>
                    </a:xfrm>
                    <a:prstGeom prst="rect">
                      <a:avLst/>
                    </a:prstGeom>
                  </pic:spPr>
                </pic:pic>
              </a:graphicData>
            </a:graphic>
          </wp:inline>
        </w:drawing>
      </w:r>
    </w:p>
    <w:p w14:paraId="7E950F1E" w14:textId="4994BBA1" w:rsidR="00DC160E" w:rsidRPr="00DC160E" w:rsidRDefault="00B575F5" w:rsidP="00DC160E">
      <w:pPr>
        <w:rPr>
          <w:b/>
        </w:rPr>
      </w:pPr>
      <w:r>
        <w:rPr>
          <w:b/>
        </w:rPr>
        <w:t xml:space="preserve">Figure 1. </w:t>
      </w:r>
      <w:r w:rsidR="00DC160E" w:rsidRPr="00DC160E">
        <w:rPr>
          <w:b/>
        </w:rPr>
        <w:t xml:space="preserve">The outlined circuitry is what we consider one gate.  Notice that </w:t>
      </w:r>
      <w:r w:rsidR="004065E4">
        <w:rPr>
          <w:b/>
        </w:rPr>
        <w:t>there are two outputs</w:t>
      </w:r>
      <w:proofErr w:type="gramStart"/>
      <w:r w:rsidR="004065E4">
        <w:rPr>
          <w:b/>
        </w:rPr>
        <w:t>;</w:t>
      </w:r>
      <w:proofErr w:type="gramEnd"/>
      <w:r w:rsidR="004065E4">
        <w:rPr>
          <w:b/>
        </w:rPr>
        <w:t xml:space="preserve"> one that</w:t>
      </w:r>
      <w:r w:rsidR="00DC160E" w:rsidRPr="00DC160E">
        <w:rPr>
          <w:b/>
        </w:rPr>
        <w:t xml:space="preserve"> is shifted up by a bi</w:t>
      </w:r>
      <w:r w:rsidR="001A7D09">
        <w:rPr>
          <w:b/>
        </w:rPr>
        <w:t>as voltage (</w:t>
      </w:r>
      <w:proofErr w:type="spellStart"/>
      <w:r w:rsidR="001A7D09" w:rsidRPr="001C696A">
        <w:rPr>
          <w:b/>
          <w:i/>
        </w:rPr>
        <w:t>delv</w:t>
      </w:r>
      <w:proofErr w:type="spellEnd"/>
      <w:r w:rsidR="001A7D09">
        <w:rPr>
          <w:b/>
        </w:rPr>
        <w:t>), and one that</w:t>
      </w:r>
      <w:r w:rsidR="00DC160E" w:rsidRPr="00DC160E">
        <w:rPr>
          <w:b/>
        </w:rPr>
        <w:t xml:space="preserve"> is shifted down.  The output from the up-shifted gate is connected to the next gate’s NMOS transistors while the output from the </w:t>
      </w:r>
      <w:proofErr w:type="gramStart"/>
      <w:r w:rsidR="00DC160E" w:rsidRPr="00DC160E">
        <w:rPr>
          <w:b/>
        </w:rPr>
        <w:t>down-shifted</w:t>
      </w:r>
      <w:proofErr w:type="gramEnd"/>
      <w:r w:rsidR="00DC160E" w:rsidRPr="00DC160E">
        <w:rPr>
          <w:b/>
        </w:rPr>
        <w:t xml:space="preserve"> gate is tied to the next gate’s PMOS transistors.</w:t>
      </w:r>
    </w:p>
    <w:p w14:paraId="1C1DCBF1" w14:textId="6AA61223" w:rsidR="0002554D" w:rsidRDefault="004B266E" w:rsidP="008C43BA">
      <w:r>
        <w:t>Our general design for</w:t>
      </w:r>
      <w:r w:rsidR="009A29CB">
        <w:t xml:space="preserve"> the</w:t>
      </w:r>
      <w:r>
        <w:t xml:space="preserve"> </w:t>
      </w:r>
      <w:proofErr w:type="gramStart"/>
      <w:r>
        <w:t>supply biased</w:t>
      </w:r>
      <w:proofErr w:type="gramEnd"/>
      <w:r>
        <w:t xml:space="preserve"> gate consists of two similar gates.  The supplies to one of the gates are shifted up by some bias voltage </w:t>
      </w:r>
      <w:proofErr w:type="spellStart"/>
      <w:r w:rsidRPr="00FF5CF1">
        <w:rPr>
          <w:i/>
        </w:rPr>
        <w:t>delv</w:t>
      </w:r>
      <w:proofErr w:type="spellEnd"/>
      <w:r>
        <w:t xml:space="preserve">, while the supplies to the other gate are </w:t>
      </w:r>
      <w:r>
        <w:lastRenderedPageBreak/>
        <w:t xml:space="preserve">shifted down by </w:t>
      </w:r>
      <w:proofErr w:type="spellStart"/>
      <w:r w:rsidRPr="00FF5CF1">
        <w:rPr>
          <w:i/>
        </w:rPr>
        <w:t>delv</w:t>
      </w:r>
      <w:proofErr w:type="spellEnd"/>
      <w:r>
        <w:t xml:space="preserve">.  </w:t>
      </w:r>
      <w:r w:rsidR="008C43BA">
        <w:t>Therefore, a single gate of our design requires two inputs and produces two outputs—one high and one low.  Figure 1 illustrates this design for a supply biased inverter gate.</w:t>
      </w:r>
      <w:r w:rsidR="00DD1EA7">
        <w:t xml:space="preserve">  </w:t>
      </w:r>
      <w:r w:rsidR="008C43BA">
        <w:t>The output from the up-sh</w:t>
      </w:r>
      <w:r w:rsidR="003B71B7">
        <w:t>ifted gate i</w:t>
      </w:r>
      <w:r w:rsidR="002F6F33">
        <w:t>s tied to both</w:t>
      </w:r>
      <w:r w:rsidR="003B71B7">
        <w:t xml:space="preserve"> NMOS gate inputs</w:t>
      </w:r>
      <w:r w:rsidR="008C43BA">
        <w:t xml:space="preserve"> to “overdrive” them during a high output.  The output from the </w:t>
      </w:r>
      <w:proofErr w:type="gramStart"/>
      <w:r w:rsidR="008C43BA">
        <w:t>down-shifted</w:t>
      </w:r>
      <w:proofErr w:type="gramEnd"/>
      <w:r w:rsidR="008C43BA">
        <w:t xml:space="preserve"> gate is tied to </w:t>
      </w:r>
      <w:r w:rsidR="00C743C8">
        <w:t>both PMOS transistor gate inputs</w:t>
      </w:r>
      <w:r w:rsidR="008C43BA">
        <w:t xml:space="preserve"> for the same reason.  It may be clear that when biased with a positive voltage this design has the potential to increase the drive strength, and therefore speed of the FETs.  </w:t>
      </w:r>
      <w:r w:rsidR="00B51874">
        <w:t>Note, however, that</w:t>
      </w:r>
      <w:r w:rsidR="008C43BA">
        <w:t xml:space="preserve"> a negative bias voltage will drive the gate-to-source voltage of the receiving gate (the ga</w:t>
      </w:r>
      <w:r w:rsidR="00FF203F">
        <w:t>te not within the rectangle in F</w:t>
      </w:r>
      <w:r w:rsidR="008C43BA">
        <w:t>igure 1) below zero in half of the “off” transistors, which leads to a decrease</w:t>
      </w:r>
      <w:r w:rsidR="00D555D8">
        <w:t xml:space="preserve"> in</w:t>
      </w:r>
      <w:r w:rsidR="008C43BA">
        <w:t xml:space="preserve"> static power.  We will discuss these effects in the next section.</w:t>
      </w:r>
    </w:p>
    <w:p w14:paraId="0E9AFF00" w14:textId="6A9E73B2" w:rsidR="00A45BC2" w:rsidRDefault="00A45BC2" w:rsidP="004E3477">
      <w:pPr>
        <w:pStyle w:val="Heading2"/>
      </w:pPr>
      <w:r w:rsidRPr="004E3477">
        <w:t>Ring Oscillator</w:t>
      </w:r>
    </w:p>
    <w:p w14:paraId="609482F5" w14:textId="6535F1A7" w:rsidR="001A49CC" w:rsidRDefault="00F51A4A" w:rsidP="001A49CC">
      <w:r>
        <w:t xml:space="preserve">We instrumented our </w:t>
      </w:r>
      <w:r w:rsidR="00056386">
        <w:t xml:space="preserve">supply biased inverter gate </w:t>
      </w:r>
      <w:r w:rsidR="00C00FD6">
        <w:t>in an 11-gate</w:t>
      </w:r>
      <w:r w:rsidR="00FE1990">
        <w:t xml:space="preserve"> ring oscillator configuration.  </w:t>
      </w:r>
      <w:r w:rsidR="001A49CC">
        <w:t>The metrics of interest were the frequency of the ring oscillator in active mode and the static power in inactive mode as compared to the bias voltage.  The nominal voltage for the ring oscillator was set at 1.1 V, and the bias voltage was swept from -100 mV to 100 mV in 10 mV intervals.  The frequency response is plotted in Figure 2.</w:t>
      </w:r>
    </w:p>
    <w:p w14:paraId="62D1891A" w14:textId="14E15A9D" w:rsidR="006D6E68" w:rsidRDefault="00AC12CD" w:rsidP="001F6A1A">
      <w:pPr>
        <w:jc w:val="center"/>
      </w:pPr>
      <w:r>
        <w:rPr>
          <w:noProof/>
        </w:rPr>
        <w:drawing>
          <wp:inline distT="0" distB="0" distL="0" distR="0" wp14:anchorId="48AB97F7" wp14:editId="3EB67A57">
            <wp:extent cx="2628900" cy="2123440"/>
            <wp:effectExtent l="0" t="0" r="12700" b="3556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641955" w14:textId="79A4FC73" w:rsidR="00886909" w:rsidRPr="00886909" w:rsidRDefault="001901D7" w:rsidP="00886909">
      <w:pPr>
        <w:rPr>
          <w:b/>
        </w:rPr>
      </w:pPr>
      <w:r>
        <w:rPr>
          <w:b/>
        </w:rPr>
        <w:t>Figure 2.</w:t>
      </w:r>
      <w:r w:rsidRPr="001901D7">
        <w:rPr>
          <w:b/>
        </w:rPr>
        <w:t xml:space="preserve"> </w:t>
      </w:r>
      <w:r w:rsidR="008944C2">
        <w:rPr>
          <w:b/>
        </w:rPr>
        <w:t>Normalized f</w:t>
      </w:r>
      <w:r w:rsidRPr="001901D7">
        <w:rPr>
          <w:b/>
        </w:rPr>
        <w:t>requency response versus bias voltage of 11-gate supply biased ring oscillator</w:t>
      </w:r>
      <w:r w:rsidRPr="001A7AD5">
        <w:rPr>
          <w:b/>
        </w:rPr>
        <w:t>.</w:t>
      </w:r>
      <w:r w:rsidR="00CB0F21" w:rsidRPr="001A7AD5">
        <w:rPr>
          <w:b/>
        </w:rPr>
        <w:t xml:space="preserve">  W</w:t>
      </w:r>
      <w:r w:rsidR="008944C2" w:rsidRPr="001A7AD5">
        <w:rPr>
          <w:b/>
        </w:rPr>
        <w:t>e see a maximum increase in frequency of ~15% at 100 mV.</w:t>
      </w:r>
    </w:p>
    <w:p w14:paraId="3F291DFC" w14:textId="672ABBF7" w:rsidR="00886909" w:rsidRDefault="00886909" w:rsidP="00886909">
      <w:r>
        <w:t xml:space="preserve">Under the maximum bias, we were able to achieve an increase in frequency of 15%.  It may be observed that the trend in Figure 2 could allow us to increase the frequency further if we were to increase the bias voltage past 100 </w:t>
      </w:r>
      <w:r w:rsidR="00EB74FB">
        <w:t xml:space="preserve">mV.  We will give an explanation for </w:t>
      </w:r>
      <w:r w:rsidR="005D0B74">
        <w:t>our voltage bias bounds</w:t>
      </w:r>
      <w:r w:rsidR="00EB74FB">
        <w:t xml:space="preserve"> in</w:t>
      </w:r>
      <w:r w:rsidR="00881707">
        <w:t xml:space="preserve"> Section 3.3.</w:t>
      </w:r>
    </w:p>
    <w:p w14:paraId="277011B5" w14:textId="23170817" w:rsidR="00886909" w:rsidRDefault="00886909" w:rsidP="00886909">
      <w:r>
        <w:t xml:space="preserve">In order to evaluate how the static power changes with the applied bias voltage, we </w:t>
      </w:r>
      <w:r w:rsidR="00C45C4C">
        <w:t xml:space="preserve">fixed a node of our ring oscillator </w:t>
      </w:r>
      <w:r w:rsidR="00246951">
        <w:t>by connecting it to a voltage supply; this ensured a node was held constant and prevented the circuit from oscillating</w:t>
      </w:r>
      <w:r w:rsidR="00C45C4C">
        <w:t>.</w:t>
      </w:r>
      <w:r w:rsidR="00F25FD1">
        <w:t xml:space="preserve">  Figure 3 </w:t>
      </w:r>
      <w:r>
        <w:t>(a) illustrates how the static power scales with the bias voltage across the full range of bias, while Figure 3 (b) shows the static power in reverse bias.</w:t>
      </w:r>
    </w:p>
    <w:p w14:paraId="57BE8DBE" w14:textId="19CF3F21" w:rsidR="0066548E" w:rsidRPr="00C404E5" w:rsidRDefault="0066548E" w:rsidP="00886909">
      <w:r>
        <w:t xml:space="preserve">The static power in the supply biased ring oscillator increases exponentially under forward (positive </w:t>
      </w:r>
      <w:proofErr w:type="spellStart"/>
      <w:r w:rsidRPr="002A59DD">
        <w:rPr>
          <w:i/>
        </w:rPr>
        <w:t>delv</w:t>
      </w:r>
      <w:proofErr w:type="spellEnd"/>
      <w:r>
        <w:t>) bi</w:t>
      </w:r>
      <w:r w:rsidR="00A7601D">
        <w:t>as.  This is due to the linear</w:t>
      </w:r>
      <w:r w:rsidR="005772D9">
        <w:t>ly increasing</w:t>
      </w:r>
      <w:r>
        <w:t xml:space="preserve"> gate-to-source voltage on “off” transistors, which causes leakage current of those transistors to increase exponentially.  In reverse bias, the static power appears to reach an optimum point at a bias of around -45 mV</w:t>
      </w:r>
      <w:r w:rsidRPr="00C404E5">
        <w:t xml:space="preserve">.  </w:t>
      </w:r>
      <w:r w:rsidR="00C404E5">
        <w:t xml:space="preserve">We discuss this phenomenon further in the next section. </w:t>
      </w:r>
    </w:p>
    <w:p w14:paraId="15552364" w14:textId="2F886752" w:rsidR="008D1401" w:rsidRDefault="00AC12CD" w:rsidP="00F73A0C">
      <w:pPr>
        <w:jc w:val="center"/>
        <w:rPr>
          <w:noProof/>
        </w:rPr>
      </w:pPr>
      <w:r>
        <w:rPr>
          <w:noProof/>
        </w:rPr>
        <w:drawing>
          <wp:inline distT="0" distB="0" distL="0" distR="0" wp14:anchorId="2B2B0FD7" wp14:editId="78B0F387">
            <wp:extent cx="2710180" cy="2057400"/>
            <wp:effectExtent l="0" t="0" r="33020" b="2540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97ECC04" w14:textId="2065810F" w:rsidR="008D1401" w:rsidRPr="008D1401" w:rsidRDefault="008D1401" w:rsidP="008D1401">
      <w:pPr>
        <w:jc w:val="center"/>
        <w:rPr>
          <w:b/>
          <w:noProof/>
        </w:rPr>
      </w:pPr>
      <w:r>
        <w:rPr>
          <w:b/>
          <w:noProof/>
        </w:rPr>
        <w:t>(a)</w:t>
      </w:r>
    </w:p>
    <w:p w14:paraId="699C45B5" w14:textId="1EF08052" w:rsidR="00AC12CD" w:rsidRDefault="00AC12CD" w:rsidP="00F73A0C">
      <w:pPr>
        <w:jc w:val="center"/>
      </w:pPr>
      <w:r>
        <w:rPr>
          <w:noProof/>
        </w:rPr>
        <w:drawing>
          <wp:inline distT="0" distB="0" distL="0" distR="0" wp14:anchorId="081B0A91" wp14:editId="305F30CE">
            <wp:extent cx="2710180" cy="2141220"/>
            <wp:effectExtent l="0" t="0" r="33020" b="1778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114DA7D" w14:textId="480ED689" w:rsidR="008D1401" w:rsidRPr="008D1401" w:rsidRDefault="008D1401" w:rsidP="008D1401">
      <w:pPr>
        <w:jc w:val="center"/>
        <w:rPr>
          <w:b/>
        </w:rPr>
      </w:pPr>
      <w:r>
        <w:rPr>
          <w:b/>
        </w:rPr>
        <w:t>(</w:t>
      </w:r>
      <w:proofErr w:type="gramStart"/>
      <w:r>
        <w:rPr>
          <w:b/>
        </w:rPr>
        <w:t>b</w:t>
      </w:r>
      <w:proofErr w:type="gramEnd"/>
      <w:r>
        <w:rPr>
          <w:b/>
        </w:rPr>
        <w:t>)</w:t>
      </w:r>
    </w:p>
    <w:p w14:paraId="2C125CBC" w14:textId="618CEA7F" w:rsidR="00C92261" w:rsidRPr="00C92261" w:rsidRDefault="00C92261" w:rsidP="00C92261">
      <w:pPr>
        <w:rPr>
          <w:b/>
        </w:rPr>
      </w:pPr>
      <w:r>
        <w:rPr>
          <w:b/>
        </w:rPr>
        <w:t>Figure 3. (a)</w:t>
      </w:r>
      <w:r w:rsidRPr="00C92261">
        <w:rPr>
          <w:b/>
        </w:rPr>
        <w:t xml:space="preserve"> Static p</w:t>
      </w:r>
      <w:r>
        <w:rPr>
          <w:b/>
        </w:rPr>
        <w:t xml:space="preserve">ower of </w:t>
      </w:r>
      <w:r w:rsidR="00636354">
        <w:rPr>
          <w:b/>
        </w:rPr>
        <w:t xml:space="preserve">the </w:t>
      </w:r>
      <w:r>
        <w:rPr>
          <w:b/>
        </w:rPr>
        <w:t>ring oscillator</w:t>
      </w:r>
      <w:r w:rsidR="00636354">
        <w:rPr>
          <w:b/>
        </w:rPr>
        <w:t xml:space="preserve"> as our bias voltage is varied once again from -100 mV to 100 mV</w:t>
      </w:r>
      <w:r w:rsidR="00410D42">
        <w:rPr>
          <w:b/>
        </w:rPr>
        <w:t>;</w:t>
      </w:r>
      <w:r>
        <w:rPr>
          <w:b/>
        </w:rPr>
        <w:t xml:space="preserve"> and (b) s</w:t>
      </w:r>
      <w:r w:rsidRPr="00C92261">
        <w:rPr>
          <w:b/>
        </w:rPr>
        <w:t>tatic power</w:t>
      </w:r>
      <w:r w:rsidR="00B15850">
        <w:rPr>
          <w:b/>
        </w:rPr>
        <w:t xml:space="preserve"> of the ring oscillator with</w:t>
      </w:r>
      <w:r w:rsidR="00636354">
        <w:rPr>
          <w:b/>
        </w:rPr>
        <w:t xml:space="preserve"> reverse bias</w:t>
      </w:r>
      <w:r w:rsidR="00B15850">
        <w:rPr>
          <w:b/>
        </w:rPr>
        <w:t>ing</w:t>
      </w:r>
      <w:r w:rsidR="00636354">
        <w:rPr>
          <w:b/>
        </w:rPr>
        <w:t>.</w:t>
      </w:r>
      <w:r w:rsidR="00102DCE">
        <w:rPr>
          <w:b/>
        </w:rPr>
        <w:t xml:space="preserve">  (b)</w:t>
      </w:r>
      <w:r w:rsidR="005C3DF5">
        <w:rPr>
          <w:b/>
        </w:rPr>
        <w:t xml:space="preserve"> </w:t>
      </w:r>
      <w:r w:rsidR="00DB3C89">
        <w:rPr>
          <w:b/>
        </w:rPr>
        <w:t>is a</w:t>
      </w:r>
      <w:r w:rsidR="005C3DF5">
        <w:rPr>
          <w:b/>
        </w:rPr>
        <w:t xml:space="preserve"> “zoomed”</w:t>
      </w:r>
      <w:r w:rsidR="000E57D0">
        <w:rPr>
          <w:b/>
        </w:rPr>
        <w:t xml:space="preserve"> version of (a)</w:t>
      </w:r>
      <w:r w:rsidR="00643C4F">
        <w:rPr>
          <w:b/>
        </w:rPr>
        <w:t xml:space="preserve">.  In (b), we observe that </w:t>
      </w:r>
      <w:r w:rsidR="002D5DD2">
        <w:rPr>
          <w:b/>
        </w:rPr>
        <w:t xml:space="preserve">with reverse bias </w:t>
      </w:r>
      <w:r w:rsidR="00643C4F">
        <w:rPr>
          <w:b/>
        </w:rPr>
        <w:t>static power reaches an optimum point at ~-45 mV</w:t>
      </w:r>
      <w:r w:rsidR="000E57D0">
        <w:rPr>
          <w:b/>
        </w:rPr>
        <w:t xml:space="preserve"> that is not visible in (a)</w:t>
      </w:r>
      <w:r w:rsidR="00CF5ADB">
        <w:rPr>
          <w:b/>
        </w:rPr>
        <w:t xml:space="preserve"> due to the rapid</w:t>
      </w:r>
      <w:r w:rsidR="00350451">
        <w:rPr>
          <w:b/>
        </w:rPr>
        <w:t xml:space="preserve"> exponential growth that occurs</w:t>
      </w:r>
      <w:r w:rsidR="00CA5CE6">
        <w:rPr>
          <w:b/>
        </w:rPr>
        <w:t xml:space="preserve"> starting at a bias voltage of ~-</w:t>
      </w:r>
      <w:r w:rsidR="005B6E65">
        <w:rPr>
          <w:b/>
        </w:rPr>
        <w:t>4</w:t>
      </w:r>
      <w:r w:rsidR="00CA5CE6">
        <w:rPr>
          <w:b/>
        </w:rPr>
        <w:t>0 mV</w:t>
      </w:r>
      <w:r w:rsidR="000E57D0">
        <w:rPr>
          <w:b/>
        </w:rPr>
        <w:t>.</w:t>
      </w:r>
    </w:p>
    <w:p w14:paraId="2ED4FCF4" w14:textId="620C8969" w:rsidR="0066548E" w:rsidRDefault="009D0017" w:rsidP="0066548E">
      <w:r>
        <w:t xml:space="preserve">We next implemented our design in supply biased </w:t>
      </w:r>
      <w:r w:rsidR="00664C4F">
        <w:t>NAND and NOR gates</w:t>
      </w:r>
      <w:r w:rsidR="0066548E">
        <w:t xml:space="preserve">. </w:t>
      </w:r>
      <w:r w:rsidR="00345943">
        <w:t xml:space="preserve"> </w:t>
      </w:r>
      <w:r w:rsidR="00FF2CEA">
        <w:t>Like</w:t>
      </w:r>
      <w:r w:rsidR="0066548E">
        <w:t xml:space="preserve"> the inverter, the NAND and NOR gates had twice as many transistors as their standard CMOS counterpart, and two outputs: one high and one low.  The NAND and</w:t>
      </w:r>
      <w:r w:rsidR="00CC11BA">
        <w:t xml:space="preserve"> NOR gates were also set up in</w:t>
      </w:r>
      <w:r w:rsidR="0066548E">
        <w:t xml:space="preserve"> ring oscillator configuration</w:t>
      </w:r>
      <w:r w:rsidR="00CC11BA">
        <w:t>s</w:t>
      </w:r>
      <w:r w:rsidR="0066548E">
        <w:t>, both with 11 gates.  We conducted the same analysis as wi</w:t>
      </w:r>
      <w:r w:rsidR="000624BE">
        <w:t>th the inverter ring oscillator</w:t>
      </w:r>
      <w:r w:rsidR="0066548E">
        <w:t xml:space="preserve"> and found that these gates react very similarly to supply biasing.</w:t>
      </w:r>
      <w:r w:rsidR="006F02B9">
        <w:t xml:space="preserve">  We opted not to display these results because we feel they do not contribute </w:t>
      </w:r>
      <w:r w:rsidR="0075527E">
        <w:t xml:space="preserve">anything </w:t>
      </w:r>
      <w:r w:rsidR="006F02B9">
        <w:t>beyond our findings for the 11-inverter ring oscillator.</w:t>
      </w:r>
    </w:p>
    <w:p w14:paraId="06C1E86F" w14:textId="0B6477EE" w:rsidR="001901D7" w:rsidRDefault="00571D9A" w:rsidP="00571D9A">
      <w:pPr>
        <w:pStyle w:val="Heading2"/>
      </w:pPr>
      <w:r w:rsidRPr="00571D9A">
        <w:t>Ripple Carry Adder</w:t>
      </w:r>
    </w:p>
    <w:p w14:paraId="49A51355" w14:textId="41E12D23" w:rsidR="009C371E" w:rsidRDefault="009C371E" w:rsidP="009C371E">
      <w:r>
        <w:t>Using the inverter, NAND, and NOR gates mentioned in the preceding sections, we designed a CMOS full adder implementing the supply bias configuration.  F</w:t>
      </w:r>
      <w:r w:rsidR="00FC35B5">
        <w:t xml:space="preserve">igure 4 illustrates the </w:t>
      </w:r>
      <w:r w:rsidR="00601F1A">
        <w:t>full adder design w</w:t>
      </w:r>
      <w:r w:rsidR="00C512B6">
        <w:t>e used to develop</w:t>
      </w:r>
      <w:r w:rsidR="0030467F">
        <w:t xml:space="preserve"> a </w:t>
      </w:r>
      <w:r w:rsidR="004B0D5F">
        <w:t>supply biased</w:t>
      </w:r>
      <w:r w:rsidR="00601F1A">
        <w:t xml:space="preserve"> ripple carry adder</w:t>
      </w:r>
      <w:r>
        <w:t>.</w:t>
      </w:r>
    </w:p>
    <w:p w14:paraId="4F54842E" w14:textId="4216A3FC" w:rsidR="009C371E" w:rsidRDefault="00347375" w:rsidP="009C371E">
      <w:r>
        <w:t>W</w:t>
      </w:r>
      <w:r w:rsidR="00132C2D">
        <w:t>e developed an 8-</w:t>
      </w:r>
      <w:r w:rsidR="00905037">
        <w:t>bit ripple carry adder (RCA) using the</w:t>
      </w:r>
      <w:r w:rsidR="009C371E">
        <w:t xml:space="preserve"> Cadence</w:t>
      </w:r>
      <w:r w:rsidR="00905037">
        <w:t xml:space="preserve"> design environment</w:t>
      </w:r>
      <w:r w:rsidR="009C371E">
        <w:t xml:space="preserve">.  The inputs to the RCA were </w:t>
      </w:r>
      <w:r w:rsidR="005C3AA5">
        <w:t>buffered by two of the afore</w:t>
      </w:r>
      <w:r w:rsidR="009C371E">
        <w:t xml:space="preserve">mentioned supply biased inverter gates, and the outputs of the RCA drove supply biased </w:t>
      </w:r>
      <w:r w:rsidR="00407410">
        <w:t>inverter gates with transistors four</w:t>
      </w:r>
      <w:r w:rsidR="009C371E">
        <w:t xml:space="preserve"> times wider, simulating a fan</w:t>
      </w:r>
      <w:r w:rsidR="008C1866">
        <w:t>-</w:t>
      </w:r>
      <w:r w:rsidR="009C371E">
        <w:t xml:space="preserve">out of 4.  </w:t>
      </w:r>
    </w:p>
    <w:p w14:paraId="2BB9F53F" w14:textId="18022E95" w:rsidR="009C371E" w:rsidRPr="009C371E" w:rsidRDefault="009C371E" w:rsidP="009C371E">
      <w:pPr>
        <w:jc w:val="center"/>
        <w:rPr>
          <w:b/>
        </w:rPr>
      </w:pPr>
      <w:r>
        <w:rPr>
          <w:b/>
        </w:rPr>
        <w:t>Full Adder Design</w:t>
      </w:r>
    </w:p>
    <w:p w14:paraId="097CE678" w14:textId="505A7676" w:rsidR="009C371E" w:rsidRDefault="009C371E" w:rsidP="009C371E">
      <w:r>
        <w:rPr>
          <w:noProof/>
        </w:rPr>
        <w:drawing>
          <wp:inline distT="0" distB="0" distL="0" distR="0" wp14:anchorId="397F7C96" wp14:editId="0C42832A">
            <wp:extent cx="3049270" cy="1317767"/>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Adder.png"/>
                    <pic:cNvPicPr/>
                  </pic:nvPicPr>
                  <pic:blipFill>
                    <a:blip r:embed="rId13">
                      <a:extLst>
                        <a:ext uri="{28A0092B-C50C-407E-A947-70E740481C1C}">
                          <a14:useLocalDpi xmlns:a14="http://schemas.microsoft.com/office/drawing/2010/main" val="0"/>
                        </a:ext>
                      </a:extLst>
                    </a:blip>
                    <a:stretch>
                      <a:fillRect/>
                    </a:stretch>
                  </pic:blipFill>
                  <pic:spPr>
                    <a:xfrm>
                      <a:off x="0" y="0"/>
                      <a:ext cx="3049270" cy="1317767"/>
                    </a:xfrm>
                    <a:prstGeom prst="rect">
                      <a:avLst/>
                    </a:prstGeom>
                  </pic:spPr>
                </pic:pic>
              </a:graphicData>
            </a:graphic>
          </wp:inline>
        </w:drawing>
      </w:r>
    </w:p>
    <w:p w14:paraId="6163DA72" w14:textId="39BC3E4E" w:rsidR="009C371E" w:rsidRPr="000F70F2" w:rsidRDefault="009C371E" w:rsidP="009C371E">
      <w:pPr>
        <w:rPr>
          <w:b/>
        </w:rPr>
      </w:pPr>
      <w:r>
        <w:rPr>
          <w:b/>
        </w:rPr>
        <w:t xml:space="preserve">Figure 4. </w:t>
      </w:r>
      <w:r w:rsidRPr="009C371E">
        <w:rPr>
          <w:b/>
        </w:rPr>
        <w:t>The two XOR gates designed to evaluate the sum bit were implemented using two NOR gates, one NAND</w:t>
      </w:r>
      <w:r w:rsidR="00A8051B">
        <w:rPr>
          <w:b/>
        </w:rPr>
        <w:t xml:space="preserve"> and one inverter gate.  I</w:t>
      </w:r>
      <w:r w:rsidRPr="009C371E">
        <w:rPr>
          <w:b/>
        </w:rPr>
        <w:t xml:space="preserve">n the </w:t>
      </w:r>
      <w:proofErr w:type="gramStart"/>
      <w:r w:rsidRPr="009C371E">
        <w:rPr>
          <w:b/>
        </w:rPr>
        <w:t>sup</w:t>
      </w:r>
      <w:r w:rsidR="00A97A14">
        <w:rPr>
          <w:b/>
        </w:rPr>
        <w:t>ply biased</w:t>
      </w:r>
      <w:proofErr w:type="gramEnd"/>
      <w:r w:rsidR="00A97A14">
        <w:rPr>
          <w:b/>
        </w:rPr>
        <w:t xml:space="preserve"> design there are</w:t>
      </w:r>
      <w:r w:rsidRPr="009C371E">
        <w:rPr>
          <w:b/>
        </w:rPr>
        <w:t xml:space="preserve"> twice as many inputs and outputs as tho</w:t>
      </w:r>
      <w:r w:rsidR="00476034">
        <w:rPr>
          <w:b/>
        </w:rPr>
        <w:t>se shown here; this schematic i</w:t>
      </w:r>
      <w:r w:rsidR="000C6D13">
        <w:rPr>
          <w:b/>
        </w:rPr>
        <w:t xml:space="preserve">s presented </w:t>
      </w:r>
      <w:r w:rsidR="004B21C2">
        <w:rPr>
          <w:b/>
        </w:rPr>
        <w:t>to show the full adder design we</w:t>
      </w:r>
      <w:r w:rsidRPr="009C371E">
        <w:rPr>
          <w:b/>
        </w:rPr>
        <w:t xml:space="preserve"> implemented.</w:t>
      </w:r>
    </w:p>
    <w:p w14:paraId="5192D253" w14:textId="0CAA17CF" w:rsidR="00CC4027" w:rsidRDefault="009C371E" w:rsidP="00CC4027">
      <w:r>
        <w:t xml:space="preserve">We set the nominal voltage to </w:t>
      </w:r>
      <w:r w:rsidRPr="00313EE3">
        <w:t>1 V</w:t>
      </w:r>
      <w:r>
        <w:t xml:space="preserve"> and swept the bias voltage from -100 mV to 100 mV.  The metrics of</w:t>
      </w:r>
      <w:r w:rsidR="00900E75">
        <w:t xml:space="preserve"> interest for this simulation were</w:t>
      </w:r>
      <w:r>
        <w:t xml:space="preserve"> the delay of the RCA after a change in the inputs and the static power when the inputs were held constant</w:t>
      </w:r>
      <w:r w:rsidR="006B4ECE">
        <w:t>.  We also analyzed</w:t>
      </w:r>
      <w:r>
        <w:t xml:space="preserve"> the power during a switch, </w:t>
      </w:r>
      <w:r w:rsidR="00AE7AE0">
        <w:t>which we</w:t>
      </w:r>
      <w:r w:rsidRPr="00EB738F">
        <w:t xml:space="preserve"> </w:t>
      </w:r>
      <w:r w:rsidR="006B4ECE" w:rsidRPr="00EB738F">
        <w:t xml:space="preserve">comment on </w:t>
      </w:r>
      <w:r w:rsidRPr="00EB738F">
        <w:t>later</w:t>
      </w:r>
      <w:r w:rsidR="003F35F1" w:rsidRPr="00EB738F">
        <w:t xml:space="preserve"> in this section</w:t>
      </w:r>
      <w:r w:rsidRPr="00EB738F">
        <w:t>.</w:t>
      </w:r>
      <w:r w:rsidR="00CC4027" w:rsidRPr="00EB738F">
        <w:t xml:space="preserve">  </w:t>
      </w:r>
      <w:r w:rsidR="00CC4027">
        <w:t xml:space="preserve">Figure 5 shows the delay response of the final sum bit to evaluate correctly versus the bias voltage. </w:t>
      </w:r>
    </w:p>
    <w:p w14:paraId="20D610F0" w14:textId="4FB2AE48" w:rsidR="009C371E" w:rsidRDefault="00147C37" w:rsidP="00E57ECF">
      <w:pPr>
        <w:jc w:val="center"/>
      </w:pPr>
      <w:r>
        <w:rPr>
          <w:noProof/>
        </w:rPr>
        <w:drawing>
          <wp:inline distT="0" distB="0" distL="0" distR="0" wp14:anchorId="14D4D4C1" wp14:editId="0820B12B">
            <wp:extent cx="2966720" cy="2265680"/>
            <wp:effectExtent l="0" t="0" r="30480" b="2032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0797249" w14:textId="7A0CC60F" w:rsidR="00C363A2" w:rsidRPr="00C363A2" w:rsidRDefault="00C363A2" w:rsidP="00C363A2">
      <w:pPr>
        <w:rPr>
          <w:b/>
        </w:rPr>
      </w:pPr>
      <w:r>
        <w:rPr>
          <w:b/>
        </w:rPr>
        <w:t>Figure 5.</w:t>
      </w:r>
      <w:r w:rsidR="00387017">
        <w:rPr>
          <w:b/>
        </w:rPr>
        <w:t xml:space="preserve"> </w:t>
      </w:r>
      <w:r w:rsidR="00B92C19">
        <w:rPr>
          <w:b/>
        </w:rPr>
        <w:t>The n</w:t>
      </w:r>
      <w:r w:rsidR="002E3EDE">
        <w:rPr>
          <w:b/>
        </w:rPr>
        <w:t>ormalized delay for the</w:t>
      </w:r>
      <w:r w:rsidR="00E45704">
        <w:rPr>
          <w:b/>
        </w:rPr>
        <w:t xml:space="preserve"> final sum bit of the</w:t>
      </w:r>
      <w:r w:rsidR="002E3EDE">
        <w:rPr>
          <w:b/>
        </w:rPr>
        <w:t xml:space="preserve"> supply biased </w:t>
      </w:r>
      <w:r w:rsidR="00387017">
        <w:rPr>
          <w:b/>
        </w:rPr>
        <w:t>8-</w:t>
      </w:r>
      <w:r w:rsidR="008B7A91">
        <w:rPr>
          <w:b/>
        </w:rPr>
        <w:t xml:space="preserve">bit ripple carry adder </w:t>
      </w:r>
      <w:r w:rsidR="002E3EDE">
        <w:rPr>
          <w:b/>
        </w:rPr>
        <w:t>compared with bias voltage.</w:t>
      </w:r>
    </w:p>
    <w:p w14:paraId="0B36C095" w14:textId="77777777" w:rsidR="00854CA5" w:rsidRDefault="00854CA5" w:rsidP="00854CA5">
      <w:r>
        <w:t xml:space="preserve">Similar to the ring oscillator, we were able to realize a 15% decrease in delay at the maximum bias voltage.  The trend as we increase the bias alludes to the possibility of decreasing delay even further, just as the frequency in the ring oscillator appeared to have the potential to be increased further.  If we examine the supply bias design in Figure 1, we can see that a bias voltage of 100 mV leads to a gate-to-source voltage of 200 mV for one of the “off” transistors in the second gate (for a low output from the first gate in Figure 1, the NMOS in the up-shifted part of the second gate has a </w:t>
      </w:r>
      <w:proofErr w:type="spellStart"/>
      <w:r>
        <w:t>V</w:t>
      </w:r>
      <w:r w:rsidRPr="00D17C7C">
        <w:rPr>
          <w:vertAlign w:val="subscript"/>
        </w:rPr>
        <w:t>gs</w:t>
      </w:r>
      <w:proofErr w:type="spellEnd"/>
      <w:r>
        <w:t xml:space="preserve"> of 200 mV, and for a high output from the first gate, the PMOS of the down-shifted part of the second gate has a </w:t>
      </w:r>
      <w:proofErr w:type="spellStart"/>
      <w:r>
        <w:t>V</w:t>
      </w:r>
      <w:r w:rsidRPr="00D17C7C">
        <w:rPr>
          <w:vertAlign w:val="subscript"/>
        </w:rPr>
        <w:t>gs</w:t>
      </w:r>
      <w:proofErr w:type="spellEnd"/>
      <w:r>
        <w:t xml:space="preserve"> of 200 mV).  The threshold voltages of the FETs in this technology are about 400 mV.  Given this metric, it can be easily deduced that we would not want our bias voltage to exceed 200 mV to prevent any of the “off” transistors from turning on.  However, due to process variation, this threshold voltage may dip down well below 400 mV in practice.  As such, we decided not to sweep the bias voltage any higher than 100 mV.</w:t>
      </w:r>
    </w:p>
    <w:p w14:paraId="3FCB0B91" w14:textId="6B879FF3" w:rsidR="00C3062B" w:rsidRDefault="00C3062B" w:rsidP="00C3062B">
      <w:pPr>
        <w:jc w:val="center"/>
      </w:pPr>
      <w:r>
        <w:rPr>
          <w:noProof/>
        </w:rPr>
        <w:drawing>
          <wp:inline distT="0" distB="0" distL="0" distR="0" wp14:anchorId="4D102B28" wp14:editId="1C9F4E99">
            <wp:extent cx="2788920" cy="2110740"/>
            <wp:effectExtent l="0" t="0" r="30480" b="2286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5C199A3" w14:textId="587069E6" w:rsidR="00C3062B" w:rsidRPr="00C3062B" w:rsidRDefault="00C3062B" w:rsidP="00C3062B">
      <w:pPr>
        <w:jc w:val="center"/>
        <w:rPr>
          <w:b/>
        </w:rPr>
      </w:pPr>
      <w:r w:rsidRPr="00C3062B">
        <w:rPr>
          <w:b/>
        </w:rPr>
        <w:t>(</w:t>
      </w:r>
      <w:proofErr w:type="gramStart"/>
      <w:r w:rsidRPr="00C3062B">
        <w:rPr>
          <w:b/>
        </w:rPr>
        <w:t>a</w:t>
      </w:r>
      <w:proofErr w:type="gramEnd"/>
      <w:r w:rsidRPr="00C3062B">
        <w:rPr>
          <w:b/>
        </w:rPr>
        <w:t>)</w:t>
      </w:r>
    </w:p>
    <w:p w14:paraId="2F2FD0F7" w14:textId="36263CCA" w:rsidR="00C3062B" w:rsidRDefault="00C3062B" w:rsidP="00C3062B">
      <w:pPr>
        <w:jc w:val="center"/>
      </w:pPr>
      <w:r>
        <w:rPr>
          <w:noProof/>
        </w:rPr>
        <w:drawing>
          <wp:inline distT="0" distB="0" distL="0" distR="0" wp14:anchorId="73F6D9D6" wp14:editId="2696F423">
            <wp:extent cx="2887980" cy="2133600"/>
            <wp:effectExtent l="0" t="0" r="33020" b="2540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2970A7C" w14:textId="377A130F" w:rsidR="00C3062B" w:rsidRDefault="00C3062B" w:rsidP="00C3062B">
      <w:pPr>
        <w:jc w:val="center"/>
        <w:rPr>
          <w:b/>
        </w:rPr>
      </w:pPr>
      <w:r w:rsidRPr="00C3062B">
        <w:rPr>
          <w:b/>
        </w:rPr>
        <w:t>(</w:t>
      </w:r>
      <w:proofErr w:type="gramStart"/>
      <w:r w:rsidRPr="00C3062B">
        <w:rPr>
          <w:b/>
        </w:rPr>
        <w:t>b</w:t>
      </w:r>
      <w:proofErr w:type="gramEnd"/>
      <w:r w:rsidRPr="00C3062B">
        <w:rPr>
          <w:b/>
        </w:rPr>
        <w:t>)</w:t>
      </w:r>
    </w:p>
    <w:p w14:paraId="1DDFD2BA" w14:textId="44711445" w:rsidR="00C3062B" w:rsidRPr="00C3062B" w:rsidRDefault="00C3062B" w:rsidP="00C3062B">
      <w:pPr>
        <w:rPr>
          <w:b/>
          <w:noProof/>
        </w:rPr>
      </w:pPr>
      <w:r>
        <w:rPr>
          <w:b/>
          <w:noProof/>
        </w:rPr>
        <w:t>Figure 6. (a)</w:t>
      </w:r>
      <w:r w:rsidRPr="00C3062B">
        <w:rPr>
          <w:b/>
          <w:noProof/>
        </w:rPr>
        <w:t xml:space="preserve"> </w:t>
      </w:r>
      <w:r w:rsidR="006F649E">
        <w:rPr>
          <w:b/>
          <w:noProof/>
        </w:rPr>
        <w:t>Stat</w:t>
      </w:r>
      <w:r w:rsidR="005A1B62">
        <w:rPr>
          <w:b/>
          <w:noProof/>
        </w:rPr>
        <w:t xml:space="preserve">ic power of supply biased </w:t>
      </w:r>
      <w:r w:rsidR="006F649E">
        <w:rPr>
          <w:b/>
          <w:noProof/>
        </w:rPr>
        <w:t xml:space="preserve">RCA </w:t>
      </w:r>
      <w:r w:rsidRPr="00C3062B">
        <w:rPr>
          <w:b/>
          <w:noProof/>
        </w:rPr>
        <w:t>in reverse bias</w:t>
      </w:r>
      <w:r w:rsidR="00447C8F">
        <w:rPr>
          <w:b/>
          <w:noProof/>
        </w:rPr>
        <w:t>;</w:t>
      </w:r>
      <w:r w:rsidRPr="00C3062B">
        <w:rPr>
          <w:b/>
          <w:noProof/>
        </w:rPr>
        <w:t xml:space="preserve"> and </w:t>
      </w:r>
      <w:r>
        <w:rPr>
          <w:b/>
          <w:noProof/>
        </w:rPr>
        <w:t>(b)</w:t>
      </w:r>
      <w:r w:rsidRPr="00C3062B">
        <w:rPr>
          <w:b/>
          <w:noProof/>
        </w:rPr>
        <w:t xml:space="preserve"> Switching power of RCA across full swing of bias voltage.</w:t>
      </w:r>
    </w:p>
    <w:p w14:paraId="613A0262" w14:textId="77777777" w:rsidR="00C3062B" w:rsidRPr="00C3062B" w:rsidRDefault="00C3062B" w:rsidP="00C3062B">
      <w:pPr>
        <w:jc w:val="left"/>
        <w:rPr>
          <w:b/>
        </w:rPr>
      </w:pPr>
    </w:p>
    <w:p w14:paraId="18B32676" w14:textId="4E86CF19" w:rsidR="00094D45" w:rsidRDefault="00854CA5" w:rsidP="00854CA5">
      <w:r>
        <w:t>Figure 6 (a) and (b) illustrate the static power in reverse bias and switching power</w:t>
      </w:r>
      <w:r w:rsidRPr="00480A7E">
        <w:t xml:space="preserve"> </w:t>
      </w:r>
      <w:r>
        <w:t>of the RCA across the full swing of the bias voltage, respectively.  The static power was measured before the inputs switched, while the switching power is a measure of the average power consumed during a change in inputs and outputs.</w:t>
      </w:r>
    </w:p>
    <w:p w14:paraId="7DCC7D17" w14:textId="53F02B97" w:rsidR="00A96B20" w:rsidRPr="00094D45" w:rsidRDefault="00A96B20" w:rsidP="00854CA5">
      <w:pPr>
        <w:rPr>
          <w:noProof/>
        </w:rPr>
      </w:pPr>
      <w:r>
        <w:rPr>
          <w:noProof/>
        </w:rPr>
        <w:t xml:space="preserve">Like the </w:t>
      </w:r>
      <w:r w:rsidR="00F9701A">
        <w:rPr>
          <w:noProof/>
        </w:rPr>
        <w:t>results for</w:t>
      </w:r>
      <w:r>
        <w:rPr>
          <w:noProof/>
        </w:rPr>
        <w:t xml:space="preserve"> the</w:t>
      </w:r>
      <w:r w:rsidR="004E0759">
        <w:rPr>
          <w:noProof/>
        </w:rPr>
        <w:t xml:space="preserve"> ring oscillator, </w:t>
      </w:r>
      <w:r>
        <w:rPr>
          <w:noProof/>
        </w:rPr>
        <w:t xml:space="preserve">there </w:t>
      </w:r>
      <w:r w:rsidR="004E0759">
        <w:rPr>
          <w:noProof/>
        </w:rPr>
        <w:t>appears to be</w:t>
      </w:r>
      <w:r>
        <w:rPr>
          <w:noProof/>
        </w:rPr>
        <w:t xml:space="preserve"> an optimal reverse bias voltage which maximally reduces the static power of the RCA, beyond which it increases.  At this optimal point, we </w:t>
      </w:r>
      <w:r w:rsidR="004D3D19">
        <w:rPr>
          <w:noProof/>
        </w:rPr>
        <w:t>simulated</w:t>
      </w:r>
      <w:r>
        <w:rPr>
          <w:noProof/>
        </w:rPr>
        <w:t xml:space="preserve"> a 38% reduction in static power in our RCA compared to the same implementation under zero bias.  We were able to realize a 37% decrease in switching power at full reverse bias.</w:t>
      </w:r>
    </w:p>
    <w:p w14:paraId="7B92CDA4" w14:textId="77D6E255" w:rsidR="008C69E7" w:rsidRDefault="00BC78D0" w:rsidP="008C69E7">
      <w:pPr>
        <w:pStyle w:val="Heading1"/>
        <w:spacing w:before="120"/>
      </w:pPr>
      <w:r>
        <w:t>DISCUSSION</w:t>
      </w:r>
    </w:p>
    <w:p w14:paraId="05796D21" w14:textId="3C608D42" w:rsidR="00E8503D" w:rsidRPr="00E8503D" w:rsidRDefault="005B1E25" w:rsidP="009A0C2A">
      <w:r>
        <w:t>We compare t</w:t>
      </w:r>
      <w:r w:rsidR="00DE6877">
        <w:t>he results from section 3.3</w:t>
      </w:r>
      <w:r w:rsidR="009A0C2A">
        <w:t xml:space="preserve"> to a control set of values in order to evaluate their significance beyond </w:t>
      </w:r>
      <w:r>
        <w:t>their ability to modulate</w:t>
      </w:r>
      <w:r w:rsidR="009A0C2A">
        <w:t xml:space="preserve"> d</w:t>
      </w:r>
      <w:r>
        <w:t xml:space="preserve">elay and power </w:t>
      </w:r>
      <w:r w:rsidR="009A0C2A">
        <w:t xml:space="preserve">in this design.  </w:t>
      </w:r>
      <w:r w:rsidR="007F5F92">
        <w:t>Our control set consisted of a</w:t>
      </w:r>
      <w:r w:rsidR="00E0114F">
        <w:t xml:space="preserve"> standard CMOS 8-</w:t>
      </w:r>
      <w:r w:rsidR="009A0C2A">
        <w:t xml:space="preserve">bit </w:t>
      </w:r>
      <w:r w:rsidR="00E0114F">
        <w:t>RCA</w:t>
      </w:r>
      <w:r w:rsidR="009A0C2A">
        <w:t xml:space="preserve"> </w:t>
      </w:r>
      <w:r w:rsidR="003F3E5A">
        <w:t>constructed with transistors</w:t>
      </w:r>
      <w:r w:rsidR="00BA5354">
        <w:t xml:space="preserve"> of equal width </w:t>
      </w:r>
      <w:r w:rsidR="00787075">
        <w:t>to those</w:t>
      </w:r>
      <w:r w:rsidR="00047CF3">
        <w:t xml:space="preserve"> from the </w:t>
      </w:r>
      <w:r w:rsidR="009A0C2A">
        <w:t xml:space="preserve">supply biased </w:t>
      </w:r>
      <w:r w:rsidR="00570535">
        <w:t>design, such that our control set occupies only</w:t>
      </w:r>
      <w:r w:rsidR="009A0C2A">
        <w:t xml:space="preserve"> half the area</w:t>
      </w:r>
      <w:r w:rsidR="00570535">
        <w:t xml:space="preserve"> of our design</w:t>
      </w:r>
      <w:r w:rsidR="009A0C2A">
        <w:t xml:space="preserve">.  </w:t>
      </w:r>
      <w:r w:rsidR="00D442C8">
        <w:t>We found</w:t>
      </w:r>
      <w:r w:rsidR="009A0C2A">
        <w:t xml:space="preserve"> that under no bias the supply bias </w:t>
      </w:r>
      <w:r w:rsidR="00BD7B0B">
        <w:t>configuration</w:t>
      </w:r>
      <w:r w:rsidR="009A0C2A">
        <w:t xml:space="preserve"> exhibited a delay that was about 4% smaller than that of the standard RCA.  This means that under high forward bias (100 mV) we could achieve a 19% decrease in delay with our </w:t>
      </w:r>
      <w:proofErr w:type="gramStart"/>
      <w:r w:rsidR="009A0C2A">
        <w:t>supply biased</w:t>
      </w:r>
      <w:proofErr w:type="gramEnd"/>
      <w:r w:rsidR="009A0C2A">
        <w:t xml:space="preserve"> implemen</w:t>
      </w:r>
      <w:r w:rsidR="006E29B7">
        <w:t>tation compared to a standard 8-</w:t>
      </w:r>
      <w:r w:rsidR="009A0C2A">
        <w:t>bit RCA with identically sized transistors.  We found that the standard RCA exh</w:t>
      </w:r>
      <w:r w:rsidR="00571931">
        <w:t xml:space="preserve">ibited </w:t>
      </w:r>
      <w:r w:rsidR="009A0C2A">
        <w:t>static and switching power</w:t>
      </w:r>
      <w:r w:rsidR="00571931">
        <w:t>s</w:t>
      </w:r>
      <w:r w:rsidR="005F6C0A">
        <w:t xml:space="preserve"> that were</w:t>
      </w:r>
      <w:r w:rsidR="009A0C2A">
        <w:t xml:space="preserve"> half that of the supply biased RCA under no bias.  In our simulations we were only able to reduce the stat</w:t>
      </w:r>
      <w:r w:rsidR="005F6C0A">
        <w:t xml:space="preserve">ic </w:t>
      </w:r>
      <w:r w:rsidR="00DC5B87">
        <w:t>power by 38% in reverse bias; w</w:t>
      </w:r>
      <w:r w:rsidR="009A0C2A">
        <w:t xml:space="preserve">e would need to reduce it by 50% to reach the static power consumed by the standard RCA.  To </w:t>
      </w:r>
      <w:r w:rsidR="002F4F7D">
        <w:t>understand</w:t>
      </w:r>
      <w:r w:rsidR="009A0C2A">
        <w:t xml:space="preserve"> the significance of these measurements, it is important to more closely analyze the plots of static power.  We see that in deep (&gt;50 mV) reverse </w:t>
      </w:r>
      <w:proofErr w:type="gramStart"/>
      <w:r w:rsidR="009A0C2A">
        <w:t>bias,</w:t>
      </w:r>
      <w:proofErr w:type="gramEnd"/>
      <w:r w:rsidR="009A0C2A">
        <w:t xml:space="preserve"> the static power actually begins to rise above the minimum.  This phenomenon is cause</w:t>
      </w:r>
      <w:r w:rsidR="00987A62">
        <w:t>d</w:t>
      </w:r>
      <w:r w:rsidR="009A0C2A">
        <w:t xml:space="preserve"> by gate induced drain leakage (GIDL).  GIDL is the tunneling of carriers through the ultra-thin gate oxide when the gate and drain are at significantly different voltages.  Recall that the P</w:t>
      </w:r>
      <w:r w:rsidR="00E35E18">
        <w:t>DK used in these simulations is</w:t>
      </w:r>
      <w:r w:rsidR="009A0C2A">
        <w:t xml:space="preserve"> for planar MOSFETs, and not </w:t>
      </w:r>
      <w:proofErr w:type="spellStart"/>
      <w:r w:rsidR="009A0C2A">
        <w:t>FinFETs</w:t>
      </w:r>
      <w:proofErr w:type="spellEnd"/>
      <w:r w:rsidR="009A0C2A">
        <w:t xml:space="preserve">.  Therefore, we cannot </w:t>
      </w:r>
      <w:r w:rsidR="001669D0">
        <w:t>draw any quantitative conclusions</w:t>
      </w:r>
      <w:r w:rsidR="009A0C2A">
        <w:t xml:space="preserve"> from the static power analysis as it applies to </w:t>
      </w:r>
      <w:proofErr w:type="spellStart"/>
      <w:r w:rsidR="009A0C2A">
        <w:t>FinFET</w:t>
      </w:r>
      <w:r w:rsidR="009B7B58">
        <w:t>s</w:t>
      </w:r>
      <w:proofErr w:type="spellEnd"/>
      <w:r w:rsidR="009B7B58">
        <w:t xml:space="preserve"> (our original motivation).  We can conclude, however, that</w:t>
      </w:r>
      <w:r w:rsidR="00551BFA">
        <w:t xml:space="preserve"> </w:t>
      </w:r>
      <w:r w:rsidR="009A0C2A">
        <w:t xml:space="preserve">static power can be reduced under reverse bias.  </w:t>
      </w:r>
    </w:p>
    <w:p w14:paraId="248E1D1B" w14:textId="7AFF5B8A" w:rsidR="00A56720" w:rsidRDefault="00A56720" w:rsidP="008C69E7">
      <w:pPr>
        <w:pStyle w:val="Heading1"/>
        <w:spacing w:before="120"/>
      </w:pPr>
      <w:r>
        <w:t>CONCLUSION</w:t>
      </w:r>
    </w:p>
    <w:p w14:paraId="1160B790" w14:textId="38D1BBC7" w:rsidR="006C5C31" w:rsidRPr="00C32B0B" w:rsidRDefault="006C5C31" w:rsidP="00C32B0B">
      <w:pPr>
        <w:pStyle w:val="BodyTextIndent"/>
        <w:spacing w:after="120"/>
        <w:ind w:firstLine="0"/>
        <w:rPr>
          <w:color w:val="000000"/>
          <w:szCs w:val="18"/>
          <w:shd w:val="clear" w:color="auto" w:fill="FFFFFF"/>
        </w:rPr>
      </w:pPr>
      <w:r>
        <w:rPr>
          <w:color w:val="000000"/>
          <w:szCs w:val="18"/>
          <w:shd w:val="clear" w:color="auto" w:fill="FFFFFF"/>
        </w:rPr>
        <w:t xml:space="preserve">As scaling MOSFETs becomes more complex, </w:t>
      </w:r>
      <w:proofErr w:type="spellStart"/>
      <w:r>
        <w:rPr>
          <w:color w:val="000000"/>
          <w:szCs w:val="18"/>
          <w:shd w:val="clear" w:color="auto" w:fill="FFFFFF"/>
        </w:rPr>
        <w:t>FinFETs</w:t>
      </w:r>
      <w:proofErr w:type="spellEnd"/>
      <w:r>
        <w:rPr>
          <w:color w:val="000000"/>
          <w:szCs w:val="18"/>
          <w:shd w:val="clear" w:color="auto" w:fill="FFFFFF"/>
        </w:rPr>
        <w:t xml:space="preserve"> have emerged as a new technology popular for </w:t>
      </w:r>
      <w:r w:rsidR="00C46C75">
        <w:rPr>
          <w:color w:val="000000"/>
          <w:szCs w:val="18"/>
          <w:shd w:val="clear" w:color="auto" w:fill="FFFFFF"/>
        </w:rPr>
        <w:t xml:space="preserve">a variety of traits, two of which are </w:t>
      </w:r>
      <w:r>
        <w:rPr>
          <w:color w:val="000000"/>
          <w:szCs w:val="18"/>
          <w:shd w:val="clear" w:color="auto" w:fill="FFFFFF"/>
        </w:rPr>
        <w:t>their ability to scale down power consumption a</w:t>
      </w:r>
      <w:r w:rsidR="005A16E8">
        <w:rPr>
          <w:color w:val="000000"/>
          <w:szCs w:val="18"/>
          <w:shd w:val="clear" w:color="auto" w:fill="FFFFFF"/>
        </w:rPr>
        <w:t>nd area in ICs</w:t>
      </w:r>
      <w:r>
        <w:rPr>
          <w:color w:val="000000"/>
          <w:szCs w:val="18"/>
          <w:shd w:val="clear" w:color="auto" w:fill="FFFFFF"/>
        </w:rPr>
        <w:t>.</w:t>
      </w:r>
      <w:r w:rsidR="003049CD">
        <w:rPr>
          <w:color w:val="000000"/>
          <w:szCs w:val="18"/>
          <w:shd w:val="clear" w:color="auto" w:fill="FFFFFF"/>
        </w:rPr>
        <w:t xml:space="preserve"> </w:t>
      </w:r>
      <w:r>
        <w:rPr>
          <w:color w:val="000000"/>
          <w:szCs w:val="18"/>
          <w:shd w:val="clear" w:color="auto" w:fill="FFFFFF"/>
        </w:rPr>
        <w:t xml:space="preserve"> </w:t>
      </w:r>
      <w:r w:rsidR="00EB3A84">
        <w:rPr>
          <w:color w:val="000000"/>
          <w:szCs w:val="18"/>
          <w:shd w:val="clear" w:color="auto" w:fill="FFFFFF"/>
        </w:rPr>
        <w:t>In this paper, we designed and tested supply biased gate configurations to evaluate the effectiveness of supply voltage biasing as an alternative to body biasing.</w:t>
      </w:r>
      <w:r w:rsidR="00A05A7A">
        <w:rPr>
          <w:color w:val="000000"/>
          <w:szCs w:val="18"/>
          <w:shd w:val="clear" w:color="auto" w:fill="FFFFFF"/>
        </w:rPr>
        <w:t xml:space="preserve">  We implemented our design first in a simple 2-inverter gate setup, and then </w:t>
      </w:r>
      <w:r w:rsidR="00C32B0B">
        <w:rPr>
          <w:color w:val="000000"/>
          <w:szCs w:val="18"/>
          <w:shd w:val="clear" w:color="auto" w:fill="FFFFFF"/>
        </w:rPr>
        <w:t xml:space="preserve">used the </w:t>
      </w:r>
      <w:proofErr w:type="spellStart"/>
      <w:r w:rsidR="00C32B0B">
        <w:rPr>
          <w:color w:val="000000"/>
          <w:szCs w:val="18"/>
          <w:shd w:val="clear" w:color="auto" w:fill="FFFFFF"/>
        </w:rPr>
        <w:t>freePDK</w:t>
      </w:r>
      <w:proofErr w:type="spellEnd"/>
      <w:r w:rsidR="00C32B0B">
        <w:rPr>
          <w:color w:val="000000"/>
          <w:szCs w:val="18"/>
          <w:shd w:val="clear" w:color="auto" w:fill="FFFFFF"/>
        </w:rPr>
        <w:t xml:space="preserve"> to simulate</w:t>
      </w:r>
      <w:r w:rsidR="00E4604F">
        <w:rPr>
          <w:color w:val="000000"/>
          <w:szCs w:val="18"/>
          <w:shd w:val="clear" w:color="auto" w:fill="FFFFFF"/>
        </w:rPr>
        <w:t xml:space="preserve"> a supply biased</w:t>
      </w:r>
      <w:r w:rsidR="00A05A7A">
        <w:rPr>
          <w:color w:val="000000"/>
          <w:szCs w:val="18"/>
          <w:shd w:val="clear" w:color="auto" w:fill="FFFFFF"/>
        </w:rPr>
        <w:t xml:space="preserve"> 11-inverter ring oscillator.</w:t>
      </w:r>
      <w:r w:rsidR="00713964">
        <w:rPr>
          <w:color w:val="000000"/>
          <w:szCs w:val="18"/>
          <w:shd w:val="clear" w:color="auto" w:fill="FFFFFF"/>
        </w:rPr>
        <w:t xml:space="preserve">  We, la</w:t>
      </w:r>
      <w:r w:rsidR="00F70942">
        <w:rPr>
          <w:color w:val="000000"/>
          <w:szCs w:val="18"/>
          <w:shd w:val="clear" w:color="auto" w:fill="FFFFFF"/>
        </w:rPr>
        <w:t xml:space="preserve">stly, evaluated the performance </w:t>
      </w:r>
      <w:r w:rsidR="005E094E">
        <w:rPr>
          <w:color w:val="000000"/>
          <w:szCs w:val="18"/>
          <w:shd w:val="clear" w:color="auto" w:fill="FFFFFF"/>
        </w:rPr>
        <w:t xml:space="preserve">of </w:t>
      </w:r>
      <w:r w:rsidR="00713964">
        <w:rPr>
          <w:color w:val="000000"/>
          <w:szCs w:val="18"/>
          <w:shd w:val="clear" w:color="auto" w:fill="FFFFFF"/>
        </w:rPr>
        <w:t>a supply voltage biased 8-bit ripple carry adder</w:t>
      </w:r>
      <w:r w:rsidR="00115787">
        <w:rPr>
          <w:color w:val="000000"/>
          <w:szCs w:val="18"/>
          <w:shd w:val="clear" w:color="auto" w:fill="FFFFFF"/>
        </w:rPr>
        <w:t xml:space="preserve"> and compared its behavior to a variety of non-biased configurations with comparable area</w:t>
      </w:r>
      <w:r w:rsidR="005E094E">
        <w:rPr>
          <w:color w:val="000000"/>
          <w:szCs w:val="18"/>
          <w:shd w:val="clear" w:color="auto" w:fill="FFFFFF"/>
        </w:rPr>
        <w:t>.  Our results show we can a</w:t>
      </w:r>
      <w:r w:rsidR="00743489">
        <w:rPr>
          <w:color w:val="000000"/>
          <w:szCs w:val="18"/>
          <w:shd w:val="clear" w:color="auto" w:fill="FFFFFF"/>
        </w:rPr>
        <w:t xml:space="preserve">chieve a maximum decrease in delay of </w:t>
      </w:r>
      <w:r w:rsidR="00966E01">
        <w:rPr>
          <w:color w:val="000000"/>
          <w:szCs w:val="18"/>
          <w:shd w:val="clear" w:color="auto" w:fill="FFFFFF"/>
        </w:rPr>
        <w:t>15% under forward bias, as well as a 38% decrease in both static and active power under reverse bias compa</w:t>
      </w:r>
      <w:r w:rsidR="00093A6B">
        <w:rPr>
          <w:color w:val="000000"/>
          <w:szCs w:val="18"/>
          <w:shd w:val="clear" w:color="auto" w:fill="FFFFFF"/>
        </w:rPr>
        <w:t xml:space="preserve">red to the design under no bias.  All simulations utilized the 45 nm </w:t>
      </w:r>
      <w:proofErr w:type="spellStart"/>
      <w:r w:rsidR="00093A6B">
        <w:rPr>
          <w:color w:val="000000"/>
          <w:szCs w:val="18"/>
          <w:shd w:val="clear" w:color="auto" w:fill="FFFFFF"/>
        </w:rPr>
        <w:t>FreePDK</w:t>
      </w:r>
      <w:proofErr w:type="spellEnd"/>
      <w:r w:rsidR="00093A6B">
        <w:rPr>
          <w:color w:val="000000"/>
          <w:szCs w:val="18"/>
          <w:shd w:val="clear" w:color="auto" w:fill="FFFFFF"/>
        </w:rPr>
        <w:t xml:space="preserve"> in the Cadence design environm</w:t>
      </w:r>
      <w:bookmarkStart w:id="0" w:name="_GoBack"/>
      <w:bookmarkEnd w:id="0"/>
      <w:r w:rsidR="00093A6B">
        <w:rPr>
          <w:color w:val="000000"/>
          <w:szCs w:val="18"/>
          <w:shd w:val="clear" w:color="auto" w:fill="FFFFFF"/>
        </w:rPr>
        <w:t xml:space="preserve">ent, which to the best of our knowledge does not yet have a </w:t>
      </w:r>
      <w:proofErr w:type="spellStart"/>
      <w:r w:rsidR="00093A6B">
        <w:rPr>
          <w:color w:val="000000"/>
          <w:szCs w:val="18"/>
          <w:shd w:val="clear" w:color="auto" w:fill="FFFFFF"/>
        </w:rPr>
        <w:t>FinFET</w:t>
      </w:r>
      <w:proofErr w:type="spellEnd"/>
      <w:r w:rsidR="00093A6B">
        <w:rPr>
          <w:color w:val="000000"/>
          <w:szCs w:val="18"/>
          <w:shd w:val="clear" w:color="auto" w:fill="FFFFFF"/>
        </w:rPr>
        <w:t xml:space="preserve"> instance</w:t>
      </w:r>
      <w:r w:rsidR="00B2675D">
        <w:rPr>
          <w:color w:val="000000"/>
          <w:szCs w:val="18"/>
          <w:shd w:val="clear" w:color="auto" w:fill="FFFFFF"/>
        </w:rPr>
        <w:t xml:space="preserve"> available</w:t>
      </w:r>
      <w:r w:rsidR="00093A6B">
        <w:rPr>
          <w:color w:val="000000"/>
          <w:szCs w:val="18"/>
          <w:shd w:val="clear" w:color="auto" w:fill="FFFFFF"/>
        </w:rPr>
        <w:t>.  Therefore, all designs were implemented using planar MOSFETs</w:t>
      </w:r>
      <w:r w:rsidR="009C61FB">
        <w:rPr>
          <w:color w:val="000000"/>
          <w:szCs w:val="18"/>
          <w:shd w:val="clear" w:color="auto" w:fill="FFFFFF"/>
        </w:rPr>
        <w:t xml:space="preserve">.  The aim of this project was </w:t>
      </w:r>
      <w:r w:rsidR="009C61FB" w:rsidRPr="00313EE3">
        <w:rPr>
          <w:szCs w:val="18"/>
          <w:shd w:val="clear" w:color="auto" w:fill="FFFFFF"/>
        </w:rPr>
        <w:t>to determine the effectiveness of varying supply voltage as a new knob.</w:t>
      </w:r>
      <w:r w:rsidR="00093A6B" w:rsidRPr="00313EE3">
        <w:rPr>
          <w:szCs w:val="18"/>
          <w:shd w:val="clear" w:color="auto" w:fill="FFFFFF"/>
        </w:rPr>
        <w:t xml:space="preserve">  Though we cannot draw any quantitative conclusions with respect to </w:t>
      </w:r>
      <w:proofErr w:type="spellStart"/>
      <w:r w:rsidR="00093A6B" w:rsidRPr="00313EE3">
        <w:rPr>
          <w:szCs w:val="18"/>
          <w:shd w:val="clear" w:color="auto" w:fill="FFFFFF"/>
        </w:rPr>
        <w:t>FinFETs</w:t>
      </w:r>
      <w:proofErr w:type="spellEnd"/>
      <w:r w:rsidR="00C9331C" w:rsidRPr="00313EE3">
        <w:rPr>
          <w:szCs w:val="18"/>
          <w:shd w:val="clear" w:color="auto" w:fill="FFFFFF"/>
        </w:rPr>
        <w:t>, we can conclude that supply voltage biasing is an effective knob for which one could construct a power-de</w:t>
      </w:r>
      <w:r w:rsidR="009F13A4" w:rsidRPr="00313EE3">
        <w:rPr>
          <w:szCs w:val="18"/>
          <w:shd w:val="clear" w:color="auto" w:fill="FFFFFF"/>
        </w:rPr>
        <w:t>lay P</w:t>
      </w:r>
      <w:r w:rsidR="00C9331C" w:rsidRPr="00313EE3">
        <w:rPr>
          <w:szCs w:val="18"/>
          <w:shd w:val="clear" w:color="auto" w:fill="FFFFFF"/>
        </w:rPr>
        <w:t>areto curve.</w:t>
      </w:r>
    </w:p>
    <w:p w14:paraId="4C9FABC9" w14:textId="78C218F2" w:rsidR="00A56720" w:rsidRPr="00A56720" w:rsidRDefault="008C69E7" w:rsidP="00A56720">
      <w:pPr>
        <w:pStyle w:val="Heading1"/>
        <w:spacing w:before="120"/>
      </w:pPr>
      <w:r>
        <w:t>ACKNOWLEDGMENTS</w:t>
      </w:r>
    </w:p>
    <w:p w14:paraId="4FCB16A8" w14:textId="69AD606E" w:rsidR="00BD5459" w:rsidRPr="002C4502" w:rsidRDefault="00BD5459" w:rsidP="00BD5459">
      <w:r>
        <w:t>The authors would like to th</w:t>
      </w:r>
      <w:r w:rsidR="00A3455C">
        <w:t>ank Professor</w:t>
      </w:r>
      <w:r w:rsidR="00766256">
        <w:t xml:space="preserve"> </w:t>
      </w:r>
      <w:proofErr w:type="spellStart"/>
      <w:r w:rsidR="00766256">
        <w:t>Mircea</w:t>
      </w:r>
      <w:proofErr w:type="spellEnd"/>
      <w:r w:rsidR="00766256">
        <w:t xml:space="preserve"> Stan for the idea</w:t>
      </w:r>
      <w:r>
        <w:t xml:space="preserve"> and his advisement throughout this project, as </w:t>
      </w:r>
      <w:r w:rsidR="007E5DC8">
        <w:t>well</w:t>
      </w:r>
      <w:r w:rsidR="0021237A">
        <w:t xml:space="preserve"> as Professors</w:t>
      </w:r>
      <w:r w:rsidR="007E5DC8">
        <w:t xml:space="preserve"> Ben Calhoun and </w:t>
      </w:r>
      <w:proofErr w:type="spellStart"/>
      <w:r>
        <w:t>Aatmesh</w:t>
      </w:r>
      <w:proofErr w:type="spellEnd"/>
      <w:r>
        <w:t xml:space="preserve"> </w:t>
      </w:r>
      <w:proofErr w:type="spellStart"/>
      <w:r>
        <w:t>Shrivastava</w:t>
      </w:r>
      <w:proofErr w:type="spellEnd"/>
      <w:r>
        <w:t xml:space="preserve"> for their </w:t>
      </w:r>
      <w:r w:rsidR="000979AB">
        <w:t xml:space="preserve">valuable </w:t>
      </w:r>
      <w:r>
        <w:t>input and support.</w:t>
      </w:r>
    </w:p>
    <w:p w14:paraId="3FA8622E" w14:textId="5F17D996" w:rsidR="008C69E7" w:rsidRDefault="008C69E7" w:rsidP="00991313">
      <w:pPr>
        <w:pStyle w:val="Heading1"/>
        <w:spacing w:before="120"/>
      </w:pPr>
      <w:r>
        <w:t>REFERENCES</w:t>
      </w:r>
    </w:p>
    <w:p w14:paraId="3ABCE7BE" w14:textId="7B06346F" w:rsidR="004E74D8" w:rsidRPr="004E74D8" w:rsidRDefault="004E74D8" w:rsidP="004E74D8">
      <w:pPr>
        <w:pStyle w:val="References"/>
        <w:rPr>
          <w:rFonts w:ascii="Times" w:hAnsi="Times"/>
        </w:rPr>
      </w:pPr>
      <w:proofErr w:type="spellStart"/>
      <w:r w:rsidRPr="00005E83">
        <w:rPr>
          <w:shd w:val="clear" w:color="auto" w:fill="FFFFFF"/>
        </w:rPr>
        <w:t>Chau</w:t>
      </w:r>
      <w:proofErr w:type="spellEnd"/>
      <w:r w:rsidRPr="00005E83">
        <w:rPr>
          <w:shd w:val="clear" w:color="auto" w:fill="FFFFFF"/>
        </w:rPr>
        <w:t>, Robert. "Advanced Metal Gate/High-K Dielectric Stacks for High-Performance CMOS Transistors." </w:t>
      </w:r>
      <w:r w:rsidRPr="00005E83">
        <w:rPr>
          <w:i/>
          <w:iCs/>
          <w:shd w:val="clear" w:color="auto" w:fill="FFFFFF"/>
        </w:rPr>
        <w:t>AVS 5th Int. Microelectronics Interfaces Conf</w:t>
      </w:r>
      <w:r w:rsidRPr="00005E83">
        <w:rPr>
          <w:shd w:val="clear" w:color="auto" w:fill="FFFFFF"/>
        </w:rPr>
        <w:t>. 2004.</w:t>
      </w:r>
    </w:p>
    <w:p w14:paraId="39CB599A" w14:textId="052FDE5F" w:rsidR="008C69E7" w:rsidRPr="009A0447" w:rsidRDefault="00991313" w:rsidP="008C69E7">
      <w:pPr>
        <w:pStyle w:val="References"/>
        <w:rPr>
          <w:szCs w:val="18"/>
        </w:rPr>
      </w:pPr>
      <w:r w:rsidRPr="00991313">
        <w:rPr>
          <w:color w:val="222222"/>
          <w:szCs w:val="18"/>
          <w:shd w:val="clear" w:color="auto" w:fill="FFFFFF"/>
        </w:rPr>
        <w:t xml:space="preserve">Chen, Tom, and Samuel </w:t>
      </w:r>
      <w:proofErr w:type="spellStart"/>
      <w:r w:rsidRPr="00991313">
        <w:rPr>
          <w:color w:val="222222"/>
          <w:szCs w:val="18"/>
          <w:shd w:val="clear" w:color="auto" w:fill="FFFFFF"/>
        </w:rPr>
        <w:t>Naffziger</w:t>
      </w:r>
      <w:proofErr w:type="spellEnd"/>
      <w:r w:rsidRPr="00991313">
        <w:rPr>
          <w:color w:val="222222"/>
          <w:szCs w:val="18"/>
          <w:shd w:val="clear" w:color="auto" w:fill="FFFFFF"/>
        </w:rPr>
        <w:t>. "Comparison of adaptive body bias (ABB) and adaptive supply voltage (ASV) for improving delay and leakage under the presence of process variation." </w:t>
      </w:r>
      <w:r w:rsidRPr="00991313">
        <w:rPr>
          <w:i/>
          <w:iCs/>
          <w:color w:val="222222"/>
          <w:szCs w:val="18"/>
          <w:shd w:val="clear" w:color="auto" w:fill="FFFFFF"/>
        </w:rPr>
        <w:t>Very Large Scale Integration (VLSI) Systems, IEEE Transactions on</w:t>
      </w:r>
      <w:r w:rsidRPr="00991313">
        <w:rPr>
          <w:color w:val="222222"/>
          <w:szCs w:val="18"/>
          <w:shd w:val="clear" w:color="auto" w:fill="FFFFFF"/>
        </w:rPr>
        <w:t> 11.5 (2003): 888-899.</w:t>
      </w:r>
    </w:p>
    <w:p w14:paraId="6F0CE806" w14:textId="30C3F75B" w:rsidR="00941292" w:rsidRPr="00941292" w:rsidRDefault="00941292" w:rsidP="00941292">
      <w:pPr>
        <w:pStyle w:val="References"/>
        <w:rPr>
          <w:rFonts w:ascii="Times" w:hAnsi="Times"/>
        </w:rPr>
      </w:pPr>
      <w:r w:rsidRPr="00FD7BE1">
        <w:rPr>
          <w:shd w:val="clear" w:color="auto" w:fill="FFFFFF"/>
        </w:rPr>
        <w:t>Cui, Yi, et al. "High performance silicon nanowire field effect transistors." </w:t>
      </w:r>
      <w:r w:rsidRPr="00FD7BE1">
        <w:rPr>
          <w:i/>
          <w:iCs/>
          <w:shd w:val="clear" w:color="auto" w:fill="FFFFFF"/>
        </w:rPr>
        <w:t>Nano Letters</w:t>
      </w:r>
      <w:r w:rsidRPr="00FD7BE1">
        <w:rPr>
          <w:shd w:val="clear" w:color="auto" w:fill="FFFFFF"/>
        </w:rPr>
        <w:t> 3.2 (2003): 149-152.</w:t>
      </w:r>
    </w:p>
    <w:p w14:paraId="25220F5D" w14:textId="77777777" w:rsidR="001811B6" w:rsidRPr="001811B6" w:rsidRDefault="001811B6" w:rsidP="001811B6">
      <w:pPr>
        <w:pStyle w:val="References"/>
        <w:rPr>
          <w:rFonts w:ascii="Times" w:hAnsi="Times"/>
        </w:rPr>
      </w:pPr>
      <w:proofErr w:type="spellStart"/>
      <w:r w:rsidRPr="001811B6">
        <w:rPr>
          <w:shd w:val="clear" w:color="auto" w:fill="FFFFFF"/>
        </w:rPr>
        <w:t>Ionescu</w:t>
      </w:r>
      <w:proofErr w:type="spellEnd"/>
      <w:r w:rsidRPr="001811B6">
        <w:rPr>
          <w:shd w:val="clear" w:color="auto" w:fill="FFFFFF"/>
        </w:rPr>
        <w:t>, Adrian M., and Heike Riel. "Tunnel field-effect transistors as energy-efficient electronic switches." </w:t>
      </w:r>
      <w:r w:rsidRPr="001811B6">
        <w:rPr>
          <w:i/>
          <w:iCs/>
          <w:shd w:val="clear" w:color="auto" w:fill="FFFFFF"/>
        </w:rPr>
        <w:t>Nature</w:t>
      </w:r>
      <w:r w:rsidRPr="001811B6">
        <w:rPr>
          <w:shd w:val="clear" w:color="auto" w:fill="FFFFFF"/>
        </w:rPr>
        <w:t> 479.7373 (2011): 329-337.</w:t>
      </w:r>
    </w:p>
    <w:p w14:paraId="5799DBA4" w14:textId="77777777" w:rsidR="00DD5E05" w:rsidRPr="00DD5E05" w:rsidRDefault="00DD5E05" w:rsidP="00DD5E05">
      <w:pPr>
        <w:pStyle w:val="References"/>
        <w:rPr>
          <w:rFonts w:ascii="Times" w:hAnsi="Times"/>
        </w:rPr>
      </w:pPr>
      <w:proofErr w:type="spellStart"/>
      <w:r w:rsidRPr="00DD5E05">
        <w:rPr>
          <w:shd w:val="clear" w:color="auto" w:fill="FFFFFF"/>
        </w:rPr>
        <w:t>Knoch</w:t>
      </w:r>
      <w:proofErr w:type="spellEnd"/>
      <w:r w:rsidRPr="00DD5E05">
        <w:rPr>
          <w:shd w:val="clear" w:color="auto" w:fill="FFFFFF"/>
        </w:rPr>
        <w:t xml:space="preserve">, Joachim, and </w:t>
      </w:r>
      <w:proofErr w:type="spellStart"/>
      <w:r w:rsidRPr="00DD5E05">
        <w:rPr>
          <w:shd w:val="clear" w:color="auto" w:fill="FFFFFF"/>
        </w:rPr>
        <w:t>Joerg</w:t>
      </w:r>
      <w:proofErr w:type="spellEnd"/>
      <w:r w:rsidRPr="00DD5E05">
        <w:rPr>
          <w:shd w:val="clear" w:color="auto" w:fill="FFFFFF"/>
        </w:rPr>
        <w:t xml:space="preserve"> </w:t>
      </w:r>
      <w:proofErr w:type="spellStart"/>
      <w:r w:rsidRPr="00DD5E05">
        <w:rPr>
          <w:shd w:val="clear" w:color="auto" w:fill="FFFFFF"/>
        </w:rPr>
        <w:t>Appenzeller</w:t>
      </w:r>
      <w:proofErr w:type="spellEnd"/>
      <w:r w:rsidRPr="00DD5E05">
        <w:rPr>
          <w:shd w:val="clear" w:color="auto" w:fill="FFFFFF"/>
        </w:rPr>
        <w:t xml:space="preserve">. "Modeling of high-performance p-type III–V </w:t>
      </w:r>
      <w:proofErr w:type="spellStart"/>
      <w:r w:rsidRPr="00DD5E05">
        <w:rPr>
          <w:shd w:val="clear" w:color="auto" w:fill="FFFFFF"/>
        </w:rPr>
        <w:t>heterojunction</w:t>
      </w:r>
      <w:proofErr w:type="spellEnd"/>
      <w:r w:rsidRPr="00DD5E05">
        <w:rPr>
          <w:shd w:val="clear" w:color="auto" w:fill="FFFFFF"/>
        </w:rPr>
        <w:t xml:space="preserve"> tunnel FETs." </w:t>
      </w:r>
      <w:r w:rsidRPr="00DD5E05">
        <w:rPr>
          <w:i/>
          <w:iCs/>
          <w:shd w:val="clear" w:color="auto" w:fill="FFFFFF"/>
        </w:rPr>
        <w:t>Electron Device Letters, IEEE</w:t>
      </w:r>
      <w:r w:rsidRPr="00DD5E05">
        <w:rPr>
          <w:shd w:val="clear" w:color="auto" w:fill="FFFFFF"/>
        </w:rPr>
        <w:t> 31.4 (2010): 305-307.</w:t>
      </w:r>
    </w:p>
    <w:p w14:paraId="5827B43A" w14:textId="77777777" w:rsidR="00BE153A" w:rsidRPr="004E74D8" w:rsidRDefault="00BE153A" w:rsidP="00BE153A">
      <w:pPr>
        <w:pStyle w:val="References"/>
        <w:rPr>
          <w:rFonts w:ascii="Times" w:hAnsi="Times"/>
        </w:rPr>
      </w:pPr>
      <w:r w:rsidRPr="00BE153A">
        <w:rPr>
          <w:shd w:val="clear" w:color="auto" w:fill="FFFFFF"/>
        </w:rPr>
        <w:t>Park, Tai-</w:t>
      </w:r>
      <w:proofErr w:type="spellStart"/>
      <w:r w:rsidRPr="00BE153A">
        <w:rPr>
          <w:shd w:val="clear" w:color="auto" w:fill="FFFFFF"/>
        </w:rPr>
        <w:t>su</w:t>
      </w:r>
      <w:proofErr w:type="spellEnd"/>
      <w:r w:rsidRPr="00BE153A">
        <w:rPr>
          <w:shd w:val="clear" w:color="auto" w:fill="FFFFFF"/>
        </w:rPr>
        <w:t xml:space="preserve">, et al. "Fabrication of body-tied </w:t>
      </w:r>
      <w:proofErr w:type="spellStart"/>
      <w:r w:rsidRPr="00BE153A">
        <w:rPr>
          <w:shd w:val="clear" w:color="auto" w:fill="FFFFFF"/>
        </w:rPr>
        <w:t>FinFETs</w:t>
      </w:r>
      <w:proofErr w:type="spellEnd"/>
      <w:r w:rsidRPr="00BE153A">
        <w:rPr>
          <w:shd w:val="clear" w:color="auto" w:fill="FFFFFF"/>
        </w:rPr>
        <w:t xml:space="preserve"> (Omega MOSFETs) using bulk Si wafers." </w:t>
      </w:r>
      <w:r w:rsidRPr="00BE153A">
        <w:rPr>
          <w:i/>
          <w:iCs/>
          <w:shd w:val="clear" w:color="auto" w:fill="FFFFFF"/>
        </w:rPr>
        <w:t>VLSI Technology, 2003. Digest of Technical Papers. 2003 Symposium on</w:t>
      </w:r>
      <w:r w:rsidRPr="00BE153A">
        <w:rPr>
          <w:shd w:val="clear" w:color="auto" w:fill="FFFFFF"/>
        </w:rPr>
        <w:t>. IEEE, 2003.</w:t>
      </w:r>
    </w:p>
    <w:p w14:paraId="1AE9B1F2" w14:textId="591D5116" w:rsidR="004E74D8" w:rsidRPr="009B6E61" w:rsidRDefault="004E74D8" w:rsidP="004E74D8">
      <w:pPr>
        <w:pStyle w:val="References"/>
        <w:rPr>
          <w:rFonts w:ascii="Times" w:hAnsi="Times"/>
        </w:rPr>
      </w:pPr>
      <w:r w:rsidRPr="0074675B">
        <w:rPr>
          <w:shd w:val="clear" w:color="auto" w:fill="FFFFFF"/>
        </w:rPr>
        <w:t>Tang, Stephen H., et al. "</w:t>
      </w:r>
      <w:proofErr w:type="spellStart"/>
      <w:r w:rsidRPr="0074675B">
        <w:rPr>
          <w:shd w:val="clear" w:color="auto" w:fill="FFFFFF"/>
        </w:rPr>
        <w:t>FinFET</w:t>
      </w:r>
      <w:proofErr w:type="spellEnd"/>
      <w:r w:rsidRPr="0074675B">
        <w:rPr>
          <w:shd w:val="clear" w:color="auto" w:fill="FFFFFF"/>
        </w:rPr>
        <w:t>-a quasi-planar double-gate MOSFET." Solid-State Circuits Conference, 2001. Digest of Technical Papers. ISSCC. 2001 IEEE International. IEEE, 2001.</w:t>
      </w:r>
    </w:p>
    <w:p w14:paraId="6882A905" w14:textId="5BD9B753" w:rsidR="009B6E61" w:rsidRPr="009B6E61" w:rsidRDefault="009B6E61" w:rsidP="009B6E61">
      <w:pPr>
        <w:pStyle w:val="References"/>
        <w:rPr>
          <w:rFonts w:ascii="Times" w:hAnsi="Times"/>
        </w:rPr>
      </w:pPr>
      <w:proofErr w:type="spellStart"/>
      <w:r w:rsidRPr="003137AF">
        <w:rPr>
          <w:shd w:val="clear" w:color="auto" w:fill="FFFFFF"/>
        </w:rPr>
        <w:t>Tschanz</w:t>
      </w:r>
      <w:proofErr w:type="spellEnd"/>
      <w:r w:rsidRPr="003137AF">
        <w:rPr>
          <w:shd w:val="clear" w:color="auto" w:fill="FFFFFF"/>
        </w:rPr>
        <w:t xml:space="preserve">, James W., et al. "Adaptive body bias for reducing impacts </w:t>
      </w:r>
      <w:proofErr w:type="gramStart"/>
      <w:r w:rsidRPr="003137AF">
        <w:rPr>
          <w:shd w:val="clear" w:color="auto" w:fill="FFFFFF"/>
        </w:rPr>
        <w:t>of</w:t>
      </w:r>
      <w:proofErr w:type="gramEnd"/>
      <w:r w:rsidRPr="003137AF">
        <w:rPr>
          <w:shd w:val="clear" w:color="auto" w:fill="FFFFFF"/>
        </w:rPr>
        <w:t xml:space="preserve"> die-to-die and within-die parameter variations on microprocessor frequency and leakage." </w:t>
      </w:r>
      <w:r w:rsidRPr="003137AF">
        <w:rPr>
          <w:i/>
          <w:iCs/>
          <w:shd w:val="clear" w:color="auto" w:fill="FFFFFF"/>
        </w:rPr>
        <w:t>Solid-State Circuits, IEEE Journal of</w:t>
      </w:r>
      <w:r w:rsidRPr="003137AF">
        <w:rPr>
          <w:shd w:val="clear" w:color="auto" w:fill="FFFFFF"/>
        </w:rPr>
        <w:t> 37.11 (2002): 1396-1402.</w:t>
      </w:r>
    </w:p>
    <w:p w14:paraId="7E516476" w14:textId="77777777" w:rsidR="005C6BBA" w:rsidRPr="005C6BBA" w:rsidRDefault="005C6BBA" w:rsidP="005C6BBA">
      <w:pPr>
        <w:pStyle w:val="References"/>
        <w:rPr>
          <w:rFonts w:ascii="Times" w:hAnsi="Times"/>
        </w:rPr>
      </w:pPr>
      <w:proofErr w:type="spellStart"/>
      <w:r w:rsidRPr="005C6BBA">
        <w:rPr>
          <w:shd w:val="clear" w:color="auto" w:fill="FFFFFF"/>
        </w:rPr>
        <w:t>Tschanz</w:t>
      </w:r>
      <w:proofErr w:type="spellEnd"/>
      <w:r w:rsidRPr="005C6BBA">
        <w:rPr>
          <w:shd w:val="clear" w:color="auto" w:fill="FFFFFF"/>
        </w:rPr>
        <w:t>, James W., et al. "Effectiveness of adaptive supply voltage and body bias for reducing impact of parameter variations in low power and high performance microprocessors." </w:t>
      </w:r>
      <w:r w:rsidRPr="005C6BBA">
        <w:rPr>
          <w:i/>
          <w:iCs/>
          <w:shd w:val="clear" w:color="auto" w:fill="FFFFFF"/>
        </w:rPr>
        <w:t>Solid-State Circuits, IEEE Journal of</w:t>
      </w:r>
      <w:r w:rsidRPr="005C6BBA">
        <w:rPr>
          <w:shd w:val="clear" w:color="auto" w:fill="FFFFFF"/>
        </w:rPr>
        <w:t> 38.5 (2003): 826-829.</w:t>
      </w:r>
    </w:p>
    <w:p w14:paraId="6B648F86" w14:textId="77777777" w:rsidR="004E74D8" w:rsidRPr="009A0447" w:rsidRDefault="004E74D8" w:rsidP="004E74D8">
      <w:pPr>
        <w:pStyle w:val="References"/>
        <w:rPr>
          <w:rFonts w:ascii="Times" w:hAnsi="Times"/>
        </w:rPr>
      </w:pPr>
      <w:r w:rsidRPr="009A0447">
        <w:rPr>
          <w:shd w:val="clear" w:color="auto" w:fill="FFFFFF"/>
        </w:rPr>
        <w:t xml:space="preserve">Wu, </w:t>
      </w:r>
      <w:proofErr w:type="spellStart"/>
      <w:r w:rsidRPr="009A0447">
        <w:rPr>
          <w:shd w:val="clear" w:color="auto" w:fill="FFFFFF"/>
        </w:rPr>
        <w:t>Yiying</w:t>
      </w:r>
      <w:proofErr w:type="spellEnd"/>
      <w:r w:rsidRPr="009A0447">
        <w:rPr>
          <w:shd w:val="clear" w:color="auto" w:fill="FFFFFF"/>
        </w:rPr>
        <w:t>, et al. "Inorganic semiconductor nanowires: rational growth, assembly, and novel properties." </w:t>
      </w:r>
      <w:r w:rsidRPr="009A0447">
        <w:rPr>
          <w:i/>
          <w:iCs/>
          <w:shd w:val="clear" w:color="auto" w:fill="FFFFFF"/>
        </w:rPr>
        <w:t>Chemistry-A European Journal</w:t>
      </w:r>
      <w:r w:rsidRPr="009A0447">
        <w:rPr>
          <w:shd w:val="clear" w:color="auto" w:fill="FFFFFF"/>
        </w:rPr>
        <w:t> 8.6 (2002): 1260-1268.</w:t>
      </w:r>
    </w:p>
    <w:p w14:paraId="508A7984" w14:textId="77777777" w:rsidR="004E74D8" w:rsidRPr="003137AF" w:rsidRDefault="004E74D8" w:rsidP="004E74D8">
      <w:pPr>
        <w:pStyle w:val="References"/>
        <w:numPr>
          <w:ilvl w:val="0"/>
          <w:numId w:val="0"/>
        </w:numPr>
        <w:ind w:left="360"/>
        <w:rPr>
          <w:rFonts w:ascii="Times" w:hAnsi="Times"/>
        </w:rPr>
      </w:pPr>
    </w:p>
    <w:p w14:paraId="4AFC00A4" w14:textId="77777777" w:rsidR="009A0447" w:rsidRPr="00991313" w:rsidRDefault="009A0447" w:rsidP="009A0C2A">
      <w:pPr>
        <w:pStyle w:val="References"/>
        <w:numPr>
          <w:ilvl w:val="0"/>
          <w:numId w:val="0"/>
        </w:numPr>
        <w:ind w:left="360"/>
        <w:rPr>
          <w:szCs w:val="18"/>
        </w:rPr>
      </w:pPr>
    </w:p>
    <w:p w14:paraId="0CE41BFB" w14:textId="77777777" w:rsidR="008C69E7" w:rsidRDefault="008C69E7" w:rsidP="008C69E7">
      <w:pPr>
        <w:pStyle w:val="References"/>
        <w:numPr>
          <w:ilvl w:val="0"/>
          <w:numId w:val="0"/>
        </w:numPr>
      </w:pPr>
    </w:p>
    <w:p w14:paraId="2612243B" w14:textId="77777777" w:rsidR="008C69E7" w:rsidRDefault="008C69E7" w:rsidP="008C69E7">
      <w:pPr>
        <w:pStyle w:val="References"/>
        <w:numPr>
          <w:ilvl w:val="0"/>
          <w:numId w:val="0"/>
        </w:numPr>
        <w:ind w:left="360" w:hanging="360"/>
      </w:pPr>
    </w:p>
    <w:p w14:paraId="2104C02E" w14:textId="77777777" w:rsidR="008C69E7" w:rsidRDefault="008C69E7" w:rsidP="008C69E7">
      <w:pPr>
        <w:pStyle w:val="References"/>
        <w:numPr>
          <w:ilvl w:val="0"/>
          <w:numId w:val="0"/>
        </w:numPr>
        <w:ind w:left="360" w:hanging="360"/>
        <w:sectPr w:rsidR="008C69E7">
          <w:type w:val="continuous"/>
          <w:pgSz w:w="12240" w:h="15840" w:code="1"/>
          <w:pgMar w:top="1440" w:right="1080" w:bottom="1440" w:left="1080" w:header="720" w:footer="720" w:gutter="0"/>
          <w:cols w:num="2" w:space="475"/>
        </w:sectPr>
      </w:pPr>
    </w:p>
    <w:p w14:paraId="35D0782E" w14:textId="32976515" w:rsidR="00CE058E" w:rsidRDefault="00CE058E" w:rsidP="009A0C2A">
      <w:pPr>
        <w:pStyle w:val="Paper-Title"/>
      </w:pPr>
    </w:p>
    <w:sectPr w:rsidR="00CE058E">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8E200" w14:textId="77777777" w:rsidR="001D4D07" w:rsidRDefault="001D4D07" w:rsidP="008C69E7">
      <w:pPr>
        <w:spacing w:after="0"/>
      </w:pPr>
      <w:r>
        <w:separator/>
      </w:r>
    </w:p>
  </w:endnote>
  <w:endnote w:type="continuationSeparator" w:id="0">
    <w:p w14:paraId="125F083F" w14:textId="77777777" w:rsidR="001D4D07" w:rsidRDefault="001D4D07" w:rsidP="008C69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iriam">
    <w:altName w:val="Times New Roman"/>
    <w:charset w:val="B1"/>
    <w:family w:val="auto"/>
    <w:pitch w:val="variable"/>
    <w:sig w:usb0="00001801" w:usb1="00000000" w:usb2="00000000" w:usb3="00000000" w:csb0="0000002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DA42F" w14:textId="77777777" w:rsidR="001D4D07" w:rsidRDefault="001D4D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406895" w14:textId="77777777" w:rsidR="001D4D07" w:rsidRDefault="001D4D0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E2194" w14:textId="77777777" w:rsidR="001D4D07" w:rsidRDefault="001D4D07" w:rsidP="008C69E7">
      <w:pPr>
        <w:spacing w:after="0"/>
      </w:pPr>
      <w:r>
        <w:separator/>
      </w:r>
    </w:p>
  </w:footnote>
  <w:footnote w:type="continuationSeparator" w:id="0">
    <w:p w14:paraId="4F26DB32" w14:textId="77777777" w:rsidR="001D4D07" w:rsidRDefault="001D4D07" w:rsidP="008C69E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98ADE72"/>
    <w:lvl w:ilvl="0">
      <w:start w:val="1"/>
      <w:numFmt w:val="decimal"/>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7E226D3"/>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nsid w:val="1AF153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4519A2"/>
    <w:multiLevelType w:val="multilevel"/>
    <w:tmpl w:val="574671E0"/>
    <w:lvl w:ilvl="0">
      <w:start w:val="1"/>
      <w:numFmt w:val="decimal"/>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4">
    <w:nsid w:val="5585262C"/>
    <w:multiLevelType w:val="multilevel"/>
    <w:tmpl w:val="214A9CF4"/>
    <w:lvl w:ilvl="0">
      <w:start w:val="1"/>
      <w:numFmt w:val="decimal"/>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5">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B8"/>
    <w:rsid w:val="00000994"/>
    <w:rsid w:val="00003056"/>
    <w:rsid w:val="00005E83"/>
    <w:rsid w:val="000114A7"/>
    <w:rsid w:val="0001437A"/>
    <w:rsid w:val="0002554D"/>
    <w:rsid w:val="0002565E"/>
    <w:rsid w:val="000323C6"/>
    <w:rsid w:val="000447BF"/>
    <w:rsid w:val="00047CF3"/>
    <w:rsid w:val="000500DE"/>
    <w:rsid w:val="00051FB8"/>
    <w:rsid w:val="00056386"/>
    <w:rsid w:val="000578BF"/>
    <w:rsid w:val="000602FA"/>
    <w:rsid w:val="000624BE"/>
    <w:rsid w:val="000671B6"/>
    <w:rsid w:val="00076861"/>
    <w:rsid w:val="00093A6B"/>
    <w:rsid w:val="00093BD1"/>
    <w:rsid w:val="00093C2E"/>
    <w:rsid w:val="00093EAB"/>
    <w:rsid w:val="00094D45"/>
    <w:rsid w:val="000979AB"/>
    <w:rsid w:val="000A5161"/>
    <w:rsid w:val="000B4DEA"/>
    <w:rsid w:val="000C1007"/>
    <w:rsid w:val="000C6D13"/>
    <w:rsid w:val="000E0AF9"/>
    <w:rsid w:val="000E152D"/>
    <w:rsid w:val="000E3ADD"/>
    <w:rsid w:val="000E57D0"/>
    <w:rsid w:val="000F08A5"/>
    <w:rsid w:val="000F3419"/>
    <w:rsid w:val="000F70F2"/>
    <w:rsid w:val="00102DCE"/>
    <w:rsid w:val="001057DE"/>
    <w:rsid w:val="00115787"/>
    <w:rsid w:val="00116B51"/>
    <w:rsid w:val="00117AB1"/>
    <w:rsid w:val="00122905"/>
    <w:rsid w:val="00132C2D"/>
    <w:rsid w:val="001359E4"/>
    <w:rsid w:val="001422BD"/>
    <w:rsid w:val="00147B46"/>
    <w:rsid w:val="00147C37"/>
    <w:rsid w:val="00147E09"/>
    <w:rsid w:val="00150A0D"/>
    <w:rsid w:val="001519D5"/>
    <w:rsid w:val="00152AB1"/>
    <w:rsid w:val="001669D0"/>
    <w:rsid w:val="00167C88"/>
    <w:rsid w:val="00175122"/>
    <w:rsid w:val="001811B6"/>
    <w:rsid w:val="00187106"/>
    <w:rsid w:val="001901D7"/>
    <w:rsid w:val="001A3D9E"/>
    <w:rsid w:val="001A49CC"/>
    <w:rsid w:val="001A7AD5"/>
    <w:rsid w:val="001A7D09"/>
    <w:rsid w:val="001B3052"/>
    <w:rsid w:val="001B5915"/>
    <w:rsid w:val="001B5F54"/>
    <w:rsid w:val="001B76EE"/>
    <w:rsid w:val="001C5BEA"/>
    <w:rsid w:val="001C696A"/>
    <w:rsid w:val="001D4D07"/>
    <w:rsid w:val="001D6D6B"/>
    <w:rsid w:val="001D7915"/>
    <w:rsid w:val="001D7BBB"/>
    <w:rsid w:val="001F0BDD"/>
    <w:rsid w:val="001F3524"/>
    <w:rsid w:val="001F4953"/>
    <w:rsid w:val="001F6A1A"/>
    <w:rsid w:val="0021237A"/>
    <w:rsid w:val="00222AFC"/>
    <w:rsid w:val="002258F3"/>
    <w:rsid w:val="00226D88"/>
    <w:rsid w:val="0024060F"/>
    <w:rsid w:val="00240BB8"/>
    <w:rsid w:val="00246951"/>
    <w:rsid w:val="00262006"/>
    <w:rsid w:val="00270459"/>
    <w:rsid w:val="00271E93"/>
    <w:rsid w:val="00277278"/>
    <w:rsid w:val="00282834"/>
    <w:rsid w:val="00283303"/>
    <w:rsid w:val="00291838"/>
    <w:rsid w:val="00291DE6"/>
    <w:rsid w:val="002A0B60"/>
    <w:rsid w:val="002A0D84"/>
    <w:rsid w:val="002A59DD"/>
    <w:rsid w:val="002C360C"/>
    <w:rsid w:val="002D21DA"/>
    <w:rsid w:val="002D28F7"/>
    <w:rsid w:val="002D5DD2"/>
    <w:rsid w:val="002D75D2"/>
    <w:rsid w:val="002E3EDE"/>
    <w:rsid w:val="002F4F7D"/>
    <w:rsid w:val="002F51E0"/>
    <w:rsid w:val="002F6F33"/>
    <w:rsid w:val="00300EE9"/>
    <w:rsid w:val="0030467F"/>
    <w:rsid w:val="003049CD"/>
    <w:rsid w:val="00305BCA"/>
    <w:rsid w:val="00310DC0"/>
    <w:rsid w:val="003112BB"/>
    <w:rsid w:val="003137AF"/>
    <w:rsid w:val="00313EE3"/>
    <w:rsid w:val="00314CE3"/>
    <w:rsid w:val="0031679D"/>
    <w:rsid w:val="00321A07"/>
    <w:rsid w:val="003264EC"/>
    <w:rsid w:val="00330CD7"/>
    <w:rsid w:val="0033371A"/>
    <w:rsid w:val="003376B6"/>
    <w:rsid w:val="00344B15"/>
    <w:rsid w:val="00345943"/>
    <w:rsid w:val="003472ED"/>
    <w:rsid w:val="00347375"/>
    <w:rsid w:val="00350451"/>
    <w:rsid w:val="003535D5"/>
    <w:rsid w:val="003566D2"/>
    <w:rsid w:val="003661CC"/>
    <w:rsid w:val="00367B64"/>
    <w:rsid w:val="00371DCB"/>
    <w:rsid w:val="00373E0C"/>
    <w:rsid w:val="00374186"/>
    <w:rsid w:val="003768D1"/>
    <w:rsid w:val="00381604"/>
    <w:rsid w:val="00387017"/>
    <w:rsid w:val="00391D45"/>
    <w:rsid w:val="00394A99"/>
    <w:rsid w:val="003A5113"/>
    <w:rsid w:val="003A7B38"/>
    <w:rsid w:val="003B71B7"/>
    <w:rsid w:val="003C461D"/>
    <w:rsid w:val="003D0B59"/>
    <w:rsid w:val="003D207C"/>
    <w:rsid w:val="003D49E9"/>
    <w:rsid w:val="003E08AA"/>
    <w:rsid w:val="003E6641"/>
    <w:rsid w:val="003F1D25"/>
    <w:rsid w:val="003F1EAC"/>
    <w:rsid w:val="003F35F1"/>
    <w:rsid w:val="003F3E5A"/>
    <w:rsid w:val="00404086"/>
    <w:rsid w:val="004065E4"/>
    <w:rsid w:val="00407410"/>
    <w:rsid w:val="00410D42"/>
    <w:rsid w:val="00421EDB"/>
    <w:rsid w:val="004231EF"/>
    <w:rsid w:val="004276F4"/>
    <w:rsid w:val="00434FE2"/>
    <w:rsid w:val="00442429"/>
    <w:rsid w:val="00447C8F"/>
    <w:rsid w:val="0045069C"/>
    <w:rsid w:val="004606B6"/>
    <w:rsid w:val="0046243E"/>
    <w:rsid w:val="0046283D"/>
    <w:rsid w:val="00476034"/>
    <w:rsid w:val="0048653C"/>
    <w:rsid w:val="00490ECC"/>
    <w:rsid w:val="004944AC"/>
    <w:rsid w:val="0049761B"/>
    <w:rsid w:val="004B0D5F"/>
    <w:rsid w:val="004B21C2"/>
    <w:rsid w:val="004B266E"/>
    <w:rsid w:val="004B6015"/>
    <w:rsid w:val="004C0A7E"/>
    <w:rsid w:val="004D3D19"/>
    <w:rsid w:val="004E0509"/>
    <w:rsid w:val="004E0759"/>
    <w:rsid w:val="004E3182"/>
    <w:rsid w:val="004E3477"/>
    <w:rsid w:val="004E74D8"/>
    <w:rsid w:val="004F1314"/>
    <w:rsid w:val="00500629"/>
    <w:rsid w:val="00501F75"/>
    <w:rsid w:val="00504E24"/>
    <w:rsid w:val="00512BAE"/>
    <w:rsid w:val="005249B4"/>
    <w:rsid w:val="00532CCB"/>
    <w:rsid w:val="00537340"/>
    <w:rsid w:val="005453C2"/>
    <w:rsid w:val="0054714E"/>
    <w:rsid w:val="00550BAB"/>
    <w:rsid w:val="00551BFA"/>
    <w:rsid w:val="00570535"/>
    <w:rsid w:val="00571931"/>
    <w:rsid w:val="00571D9A"/>
    <w:rsid w:val="005764EC"/>
    <w:rsid w:val="005772D9"/>
    <w:rsid w:val="00586A54"/>
    <w:rsid w:val="00594396"/>
    <w:rsid w:val="005A03A7"/>
    <w:rsid w:val="005A16E8"/>
    <w:rsid w:val="005A1B62"/>
    <w:rsid w:val="005A4E8D"/>
    <w:rsid w:val="005B1E25"/>
    <w:rsid w:val="005B4BE1"/>
    <w:rsid w:val="005B6DA6"/>
    <w:rsid w:val="005B6E65"/>
    <w:rsid w:val="005C3AA5"/>
    <w:rsid w:val="005C3DF5"/>
    <w:rsid w:val="005C662A"/>
    <w:rsid w:val="005C6BBA"/>
    <w:rsid w:val="005D0B74"/>
    <w:rsid w:val="005D371D"/>
    <w:rsid w:val="005D6FB0"/>
    <w:rsid w:val="005E094E"/>
    <w:rsid w:val="005E1105"/>
    <w:rsid w:val="005E5797"/>
    <w:rsid w:val="005E64F7"/>
    <w:rsid w:val="005F113A"/>
    <w:rsid w:val="005F6C0A"/>
    <w:rsid w:val="00601F1A"/>
    <w:rsid w:val="00607AC1"/>
    <w:rsid w:val="00625B77"/>
    <w:rsid w:val="0063201A"/>
    <w:rsid w:val="0063203B"/>
    <w:rsid w:val="00636354"/>
    <w:rsid w:val="00643C4F"/>
    <w:rsid w:val="006509E9"/>
    <w:rsid w:val="00650C69"/>
    <w:rsid w:val="006564DD"/>
    <w:rsid w:val="00664C4F"/>
    <w:rsid w:val="0066548E"/>
    <w:rsid w:val="006737A9"/>
    <w:rsid w:val="00673BEB"/>
    <w:rsid w:val="00683DB2"/>
    <w:rsid w:val="00687E5B"/>
    <w:rsid w:val="006A47A0"/>
    <w:rsid w:val="006B4ECE"/>
    <w:rsid w:val="006C4305"/>
    <w:rsid w:val="006C5C31"/>
    <w:rsid w:val="006D6E68"/>
    <w:rsid w:val="006E1FC4"/>
    <w:rsid w:val="006E259F"/>
    <w:rsid w:val="006E29B7"/>
    <w:rsid w:val="006E75C5"/>
    <w:rsid w:val="006F02B9"/>
    <w:rsid w:val="006F2D81"/>
    <w:rsid w:val="006F420A"/>
    <w:rsid w:val="006F5895"/>
    <w:rsid w:val="006F649E"/>
    <w:rsid w:val="00710854"/>
    <w:rsid w:val="00713964"/>
    <w:rsid w:val="007156ED"/>
    <w:rsid w:val="007162C8"/>
    <w:rsid w:val="0072258F"/>
    <w:rsid w:val="00724E89"/>
    <w:rsid w:val="00732F27"/>
    <w:rsid w:val="007356AA"/>
    <w:rsid w:val="007368BD"/>
    <w:rsid w:val="00743489"/>
    <w:rsid w:val="007446A8"/>
    <w:rsid w:val="0074675B"/>
    <w:rsid w:val="00746E9E"/>
    <w:rsid w:val="007500B6"/>
    <w:rsid w:val="0075527E"/>
    <w:rsid w:val="00756EB8"/>
    <w:rsid w:val="00766256"/>
    <w:rsid w:val="00775C7A"/>
    <w:rsid w:val="00781A35"/>
    <w:rsid w:val="00787075"/>
    <w:rsid w:val="00787E7A"/>
    <w:rsid w:val="007941B6"/>
    <w:rsid w:val="007A0354"/>
    <w:rsid w:val="007A17CD"/>
    <w:rsid w:val="007A66B3"/>
    <w:rsid w:val="007A7B29"/>
    <w:rsid w:val="007B7730"/>
    <w:rsid w:val="007E5DC8"/>
    <w:rsid w:val="007F5F92"/>
    <w:rsid w:val="00804D2E"/>
    <w:rsid w:val="00820BD3"/>
    <w:rsid w:val="0084264A"/>
    <w:rsid w:val="00854CA5"/>
    <w:rsid w:val="00876B5F"/>
    <w:rsid w:val="00880C20"/>
    <w:rsid w:val="00880FCE"/>
    <w:rsid w:val="00881707"/>
    <w:rsid w:val="00886909"/>
    <w:rsid w:val="008944C2"/>
    <w:rsid w:val="008A04F2"/>
    <w:rsid w:val="008A3A68"/>
    <w:rsid w:val="008B202B"/>
    <w:rsid w:val="008B7A91"/>
    <w:rsid w:val="008C0B4B"/>
    <w:rsid w:val="008C1866"/>
    <w:rsid w:val="008C1F27"/>
    <w:rsid w:val="008C43BA"/>
    <w:rsid w:val="008C5929"/>
    <w:rsid w:val="008C69E7"/>
    <w:rsid w:val="008D1401"/>
    <w:rsid w:val="008D276E"/>
    <w:rsid w:val="008D7713"/>
    <w:rsid w:val="008E5B2D"/>
    <w:rsid w:val="00900E75"/>
    <w:rsid w:val="00905037"/>
    <w:rsid w:val="0090645E"/>
    <w:rsid w:val="009077F5"/>
    <w:rsid w:val="00926209"/>
    <w:rsid w:val="00941292"/>
    <w:rsid w:val="0094555D"/>
    <w:rsid w:val="00955430"/>
    <w:rsid w:val="00955B44"/>
    <w:rsid w:val="0096350E"/>
    <w:rsid w:val="00966E01"/>
    <w:rsid w:val="00975EC6"/>
    <w:rsid w:val="00987A62"/>
    <w:rsid w:val="00991313"/>
    <w:rsid w:val="009A0447"/>
    <w:rsid w:val="009A0C2A"/>
    <w:rsid w:val="009A29CB"/>
    <w:rsid w:val="009B3AD2"/>
    <w:rsid w:val="009B6E61"/>
    <w:rsid w:val="009B7B58"/>
    <w:rsid w:val="009C371E"/>
    <w:rsid w:val="009C61FB"/>
    <w:rsid w:val="009D0017"/>
    <w:rsid w:val="009E473B"/>
    <w:rsid w:val="009F13A4"/>
    <w:rsid w:val="009F2ACE"/>
    <w:rsid w:val="009F6552"/>
    <w:rsid w:val="009F717C"/>
    <w:rsid w:val="00A00776"/>
    <w:rsid w:val="00A05A7A"/>
    <w:rsid w:val="00A067A9"/>
    <w:rsid w:val="00A13E79"/>
    <w:rsid w:val="00A15BB1"/>
    <w:rsid w:val="00A26549"/>
    <w:rsid w:val="00A27447"/>
    <w:rsid w:val="00A3455C"/>
    <w:rsid w:val="00A45BC2"/>
    <w:rsid w:val="00A460FA"/>
    <w:rsid w:val="00A53B2D"/>
    <w:rsid w:val="00A565A0"/>
    <w:rsid w:val="00A56720"/>
    <w:rsid w:val="00A6200C"/>
    <w:rsid w:val="00A70014"/>
    <w:rsid w:val="00A74FCE"/>
    <w:rsid w:val="00A7601D"/>
    <w:rsid w:val="00A8051B"/>
    <w:rsid w:val="00A852C4"/>
    <w:rsid w:val="00A95D46"/>
    <w:rsid w:val="00A96B20"/>
    <w:rsid w:val="00A974E6"/>
    <w:rsid w:val="00A97A14"/>
    <w:rsid w:val="00AB2A10"/>
    <w:rsid w:val="00AB4577"/>
    <w:rsid w:val="00AB57C5"/>
    <w:rsid w:val="00AB5F7D"/>
    <w:rsid w:val="00AC12CD"/>
    <w:rsid w:val="00AC778C"/>
    <w:rsid w:val="00AD362B"/>
    <w:rsid w:val="00AD6A49"/>
    <w:rsid w:val="00AE7AE0"/>
    <w:rsid w:val="00AF1319"/>
    <w:rsid w:val="00AF44C7"/>
    <w:rsid w:val="00B15850"/>
    <w:rsid w:val="00B2253F"/>
    <w:rsid w:val="00B2675D"/>
    <w:rsid w:val="00B51874"/>
    <w:rsid w:val="00B5289B"/>
    <w:rsid w:val="00B55F25"/>
    <w:rsid w:val="00B575F5"/>
    <w:rsid w:val="00B608C1"/>
    <w:rsid w:val="00B8532A"/>
    <w:rsid w:val="00B900CF"/>
    <w:rsid w:val="00B92167"/>
    <w:rsid w:val="00B92C19"/>
    <w:rsid w:val="00BA0190"/>
    <w:rsid w:val="00BA4596"/>
    <w:rsid w:val="00BA5354"/>
    <w:rsid w:val="00BA55DC"/>
    <w:rsid w:val="00BB5D0B"/>
    <w:rsid w:val="00BC1409"/>
    <w:rsid w:val="00BC78D0"/>
    <w:rsid w:val="00BD1E6F"/>
    <w:rsid w:val="00BD5459"/>
    <w:rsid w:val="00BD7B0B"/>
    <w:rsid w:val="00BE153A"/>
    <w:rsid w:val="00BF008A"/>
    <w:rsid w:val="00BF78E8"/>
    <w:rsid w:val="00C00FD6"/>
    <w:rsid w:val="00C01E40"/>
    <w:rsid w:val="00C1097B"/>
    <w:rsid w:val="00C154CC"/>
    <w:rsid w:val="00C15AB3"/>
    <w:rsid w:val="00C211AE"/>
    <w:rsid w:val="00C26F81"/>
    <w:rsid w:val="00C3062B"/>
    <w:rsid w:val="00C32B0B"/>
    <w:rsid w:val="00C363A2"/>
    <w:rsid w:val="00C404E5"/>
    <w:rsid w:val="00C45C4C"/>
    <w:rsid w:val="00C461AF"/>
    <w:rsid w:val="00C46C75"/>
    <w:rsid w:val="00C512B6"/>
    <w:rsid w:val="00C53AAA"/>
    <w:rsid w:val="00C5454C"/>
    <w:rsid w:val="00C6338C"/>
    <w:rsid w:val="00C743C8"/>
    <w:rsid w:val="00C8027E"/>
    <w:rsid w:val="00C82D83"/>
    <w:rsid w:val="00C92261"/>
    <w:rsid w:val="00C9331C"/>
    <w:rsid w:val="00C95BE0"/>
    <w:rsid w:val="00C973C4"/>
    <w:rsid w:val="00CA0982"/>
    <w:rsid w:val="00CA1DA8"/>
    <w:rsid w:val="00CA5CE6"/>
    <w:rsid w:val="00CB0F21"/>
    <w:rsid w:val="00CC11BA"/>
    <w:rsid w:val="00CC4027"/>
    <w:rsid w:val="00CC4193"/>
    <w:rsid w:val="00CC4758"/>
    <w:rsid w:val="00CC4A58"/>
    <w:rsid w:val="00CC795C"/>
    <w:rsid w:val="00CD567F"/>
    <w:rsid w:val="00CE058E"/>
    <w:rsid w:val="00CF5ADB"/>
    <w:rsid w:val="00D02F18"/>
    <w:rsid w:val="00D13E75"/>
    <w:rsid w:val="00D14121"/>
    <w:rsid w:val="00D23CE8"/>
    <w:rsid w:val="00D31859"/>
    <w:rsid w:val="00D442C8"/>
    <w:rsid w:val="00D461AF"/>
    <w:rsid w:val="00D555D8"/>
    <w:rsid w:val="00D6343A"/>
    <w:rsid w:val="00D716E7"/>
    <w:rsid w:val="00D768EB"/>
    <w:rsid w:val="00D86FB8"/>
    <w:rsid w:val="00D877F2"/>
    <w:rsid w:val="00D9282B"/>
    <w:rsid w:val="00D93051"/>
    <w:rsid w:val="00D95F7D"/>
    <w:rsid w:val="00DB0ECC"/>
    <w:rsid w:val="00DB3C89"/>
    <w:rsid w:val="00DC160E"/>
    <w:rsid w:val="00DC3A0E"/>
    <w:rsid w:val="00DC3FA3"/>
    <w:rsid w:val="00DC5B87"/>
    <w:rsid w:val="00DC77E2"/>
    <w:rsid w:val="00DD1A5E"/>
    <w:rsid w:val="00DD1EA7"/>
    <w:rsid w:val="00DD4976"/>
    <w:rsid w:val="00DD5E05"/>
    <w:rsid w:val="00DE11AC"/>
    <w:rsid w:val="00DE4535"/>
    <w:rsid w:val="00DE6877"/>
    <w:rsid w:val="00DE6FE7"/>
    <w:rsid w:val="00DF2C05"/>
    <w:rsid w:val="00E003B0"/>
    <w:rsid w:val="00E0114F"/>
    <w:rsid w:val="00E019B0"/>
    <w:rsid w:val="00E02992"/>
    <w:rsid w:val="00E04DE3"/>
    <w:rsid w:val="00E0617C"/>
    <w:rsid w:val="00E30136"/>
    <w:rsid w:val="00E35E18"/>
    <w:rsid w:val="00E36558"/>
    <w:rsid w:val="00E41894"/>
    <w:rsid w:val="00E4307E"/>
    <w:rsid w:val="00E45704"/>
    <w:rsid w:val="00E4604F"/>
    <w:rsid w:val="00E50D8A"/>
    <w:rsid w:val="00E57ECF"/>
    <w:rsid w:val="00E74407"/>
    <w:rsid w:val="00E75C23"/>
    <w:rsid w:val="00E8503D"/>
    <w:rsid w:val="00EA052F"/>
    <w:rsid w:val="00EA2AA8"/>
    <w:rsid w:val="00EA487E"/>
    <w:rsid w:val="00EA7615"/>
    <w:rsid w:val="00EB3A84"/>
    <w:rsid w:val="00EB5DE8"/>
    <w:rsid w:val="00EB738F"/>
    <w:rsid w:val="00EB74FB"/>
    <w:rsid w:val="00EC6CCE"/>
    <w:rsid w:val="00ED1739"/>
    <w:rsid w:val="00EE279A"/>
    <w:rsid w:val="00EF18BC"/>
    <w:rsid w:val="00F054B6"/>
    <w:rsid w:val="00F0739E"/>
    <w:rsid w:val="00F07790"/>
    <w:rsid w:val="00F07DDA"/>
    <w:rsid w:val="00F145EC"/>
    <w:rsid w:val="00F23FD9"/>
    <w:rsid w:val="00F25FD1"/>
    <w:rsid w:val="00F319AE"/>
    <w:rsid w:val="00F45EB0"/>
    <w:rsid w:val="00F51A4A"/>
    <w:rsid w:val="00F628C4"/>
    <w:rsid w:val="00F70942"/>
    <w:rsid w:val="00F714D2"/>
    <w:rsid w:val="00F73A0C"/>
    <w:rsid w:val="00F868B7"/>
    <w:rsid w:val="00F87359"/>
    <w:rsid w:val="00F923B8"/>
    <w:rsid w:val="00F94AD1"/>
    <w:rsid w:val="00F95285"/>
    <w:rsid w:val="00F9701A"/>
    <w:rsid w:val="00FA14FD"/>
    <w:rsid w:val="00FA5155"/>
    <w:rsid w:val="00FC35B5"/>
    <w:rsid w:val="00FD555B"/>
    <w:rsid w:val="00FD55FD"/>
    <w:rsid w:val="00FD7BE1"/>
    <w:rsid w:val="00FE1990"/>
    <w:rsid w:val="00FF12B0"/>
    <w:rsid w:val="00FF203F"/>
    <w:rsid w:val="00FF2CEA"/>
    <w:rsid w:val="00FF5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6AB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9E7"/>
    <w:pPr>
      <w:spacing w:after="80"/>
      <w:jc w:val="both"/>
    </w:pPr>
    <w:rPr>
      <w:rFonts w:ascii="Times New Roman" w:eastAsia="Times New Roman" w:hAnsi="Times New Roman" w:cs="Times New Roman"/>
      <w:sz w:val="18"/>
      <w:szCs w:val="20"/>
    </w:rPr>
  </w:style>
  <w:style w:type="paragraph" w:styleId="Heading1">
    <w:name w:val="heading 1"/>
    <w:basedOn w:val="Normal"/>
    <w:next w:val="Normal"/>
    <w:link w:val="Heading1Char"/>
    <w:qFormat/>
    <w:rsid w:val="008C69E7"/>
    <w:pPr>
      <w:keepNext/>
      <w:numPr>
        <w:numId w:val="6"/>
      </w:numPr>
      <w:spacing w:before="40" w:after="0"/>
      <w:jc w:val="left"/>
      <w:outlineLvl w:val="0"/>
    </w:pPr>
    <w:rPr>
      <w:b/>
      <w:kern w:val="28"/>
      <w:sz w:val="24"/>
    </w:rPr>
  </w:style>
  <w:style w:type="paragraph" w:styleId="Heading2">
    <w:name w:val="heading 2"/>
    <w:basedOn w:val="Heading1"/>
    <w:next w:val="Normal"/>
    <w:link w:val="Heading2Char"/>
    <w:qFormat/>
    <w:rsid w:val="008C69E7"/>
    <w:pPr>
      <w:numPr>
        <w:ilvl w:val="1"/>
      </w:numPr>
      <w:outlineLvl w:val="1"/>
    </w:pPr>
  </w:style>
  <w:style w:type="paragraph" w:styleId="Heading3">
    <w:name w:val="heading 3"/>
    <w:basedOn w:val="Heading2"/>
    <w:next w:val="Normal"/>
    <w:link w:val="Heading3Char"/>
    <w:qFormat/>
    <w:rsid w:val="008C69E7"/>
    <w:pPr>
      <w:numPr>
        <w:ilvl w:val="2"/>
      </w:numPr>
      <w:outlineLvl w:val="2"/>
    </w:pPr>
    <w:rPr>
      <w:b w:val="0"/>
      <w:i/>
      <w:sz w:val="22"/>
    </w:rPr>
  </w:style>
  <w:style w:type="paragraph" w:styleId="Heading4">
    <w:name w:val="heading 4"/>
    <w:basedOn w:val="Heading3"/>
    <w:next w:val="Normal"/>
    <w:link w:val="Heading4Char"/>
    <w:qFormat/>
    <w:rsid w:val="008C69E7"/>
    <w:pPr>
      <w:numPr>
        <w:ilvl w:val="3"/>
      </w:numPr>
      <w:outlineLvl w:val="3"/>
    </w:pPr>
  </w:style>
  <w:style w:type="paragraph" w:styleId="Heading5">
    <w:name w:val="heading 5"/>
    <w:basedOn w:val="ListNumber3"/>
    <w:next w:val="Normal"/>
    <w:link w:val="Heading5Char"/>
    <w:qFormat/>
    <w:rsid w:val="008C69E7"/>
    <w:pPr>
      <w:numPr>
        <w:ilvl w:val="4"/>
        <w:numId w:val="6"/>
      </w:numPr>
      <w:spacing w:before="40" w:after="0"/>
      <w:contextualSpacing w:val="0"/>
      <w:jc w:val="left"/>
      <w:outlineLvl w:val="4"/>
    </w:pPr>
    <w:rPr>
      <w:i/>
      <w:sz w:val="22"/>
    </w:rPr>
  </w:style>
  <w:style w:type="paragraph" w:styleId="Heading6">
    <w:name w:val="heading 6"/>
    <w:basedOn w:val="Normal"/>
    <w:next w:val="Normal"/>
    <w:link w:val="Heading6Char"/>
    <w:qFormat/>
    <w:rsid w:val="008C69E7"/>
    <w:pPr>
      <w:numPr>
        <w:ilvl w:val="5"/>
        <w:numId w:val="6"/>
      </w:numPr>
      <w:spacing w:before="240" w:after="60"/>
      <w:outlineLvl w:val="5"/>
    </w:pPr>
    <w:rPr>
      <w:rFonts w:ascii="Arial" w:hAnsi="Arial"/>
      <w:i/>
      <w:sz w:val="22"/>
    </w:rPr>
  </w:style>
  <w:style w:type="paragraph" w:styleId="Heading7">
    <w:name w:val="heading 7"/>
    <w:basedOn w:val="Normal"/>
    <w:next w:val="Normal"/>
    <w:link w:val="Heading7Char"/>
    <w:qFormat/>
    <w:rsid w:val="008C69E7"/>
    <w:pPr>
      <w:numPr>
        <w:ilvl w:val="6"/>
        <w:numId w:val="6"/>
      </w:numPr>
      <w:spacing w:before="240" w:after="60"/>
      <w:outlineLvl w:val="6"/>
    </w:pPr>
    <w:rPr>
      <w:rFonts w:ascii="Arial" w:hAnsi="Arial"/>
    </w:rPr>
  </w:style>
  <w:style w:type="paragraph" w:styleId="Heading8">
    <w:name w:val="heading 8"/>
    <w:basedOn w:val="Normal"/>
    <w:next w:val="Normal"/>
    <w:link w:val="Heading8Char"/>
    <w:qFormat/>
    <w:rsid w:val="008C69E7"/>
    <w:pPr>
      <w:numPr>
        <w:ilvl w:val="7"/>
        <w:numId w:val="6"/>
      </w:numPr>
      <w:spacing w:before="240" w:after="60"/>
      <w:outlineLvl w:val="7"/>
    </w:pPr>
    <w:rPr>
      <w:rFonts w:ascii="Arial" w:hAnsi="Arial"/>
      <w:i/>
    </w:rPr>
  </w:style>
  <w:style w:type="paragraph" w:styleId="Heading9">
    <w:name w:val="heading 9"/>
    <w:basedOn w:val="Normal"/>
    <w:next w:val="Normal"/>
    <w:link w:val="Heading9Char"/>
    <w:qFormat/>
    <w:rsid w:val="008C69E7"/>
    <w:pPr>
      <w:numPr>
        <w:ilvl w:val="8"/>
        <w:numId w:val="6"/>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69E7"/>
    <w:rPr>
      <w:rFonts w:ascii="Times New Roman" w:eastAsia="Times New Roman" w:hAnsi="Times New Roman" w:cs="Times New Roman"/>
      <w:b/>
      <w:kern w:val="28"/>
      <w:szCs w:val="20"/>
    </w:rPr>
  </w:style>
  <w:style w:type="character" w:customStyle="1" w:styleId="Heading2Char">
    <w:name w:val="Heading 2 Char"/>
    <w:basedOn w:val="DefaultParagraphFont"/>
    <w:link w:val="Heading2"/>
    <w:rsid w:val="008C69E7"/>
    <w:rPr>
      <w:rFonts w:ascii="Times New Roman" w:eastAsia="Times New Roman" w:hAnsi="Times New Roman" w:cs="Times New Roman"/>
      <w:b/>
      <w:kern w:val="28"/>
      <w:szCs w:val="20"/>
    </w:rPr>
  </w:style>
  <w:style w:type="character" w:customStyle="1" w:styleId="Heading3Char">
    <w:name w:val="Heading 3 Char"/>
    <w:basedOn w:val="DefaultParagraphFont"/>
    <w:link w:val="Heading3"/>
    <w:rsid w:val="008C69E7"/>
    <w:rPr>
      <w:rFonts w:ascii="Times New Roman" w:eastAsia="Times New Roman" w:hAnsi="Times New Roman" w:cs="Times New Roman"/>
      <w:i/>
      <w:kern w:val="28"/>
      <w:sz w:val="22"/>
      <w:szCs w:val="20"/>
    </w:rPr>
  </w:style>
  <w:style w:type="character" w:customStyle="1" w:styleId="Heading4Char">
    <w:name w:val="Heading 4 Char"/>
    <w:basedOn w:val="DefaultParagraphFont"/>
    <w:link w:val="Heading4"/>
    <w:rsid w:val="008C69E7"/>
    <w:rPr>
      <w:rFonts w:ascii="Times New Roman" w:eastAsia="Times New Roman" w:hAnsi="Times New Roman" w:cs="Times New Roman"/>
      <w:i/>
      <w:kern w:val="28"/>
      <w:sz w:val="22"/>
      <w:szCs w:val="20"/>
    </w:rPr>
  </w:style>
  <w:style w:type="character" w:customStyle="1" w:styleId="Heading5Char">
    <w:name w:val="Heading 5 Char"/>
    <w:basedOn w:val="DefaultParagraphFont"/>
    <w:link w:val="Heading5"/>
    <w:rsid w:val="008C69E7"/>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8C69E7"/>
    <w:rPr>
      <w:rFonts w:ascii="Arial" w:eastAsia="Times New Roman" w:hAnsi="Arial" w:cs="Times New Roman"/>
      <w:i/>
      <w:sz w:val="22"/>
      <w:szCs w:val="20"/>
    </w:rPr>
  </w:style>
  <w:style w:type="character" w:customStyle="1" w:styleId="Heading7Char">
    <w:name w:val="Heading 7 Char"/>
    <w:basedOn w:val="DefaultParagraphFont"/>
    <w:link w:val="Heading7"/>
    <w:rsid w:val="008C69E7"/>
    <w:rPr>
      <w:rFonts w:ascii="Arial" w:eastAsia="Times New Roman" w:hAnsi="Arial" w:cs="Times New Roman"/>
      <w:sz w:val="18"/>
      <w:szCs w:val="20"/>
    </w:rPr>
  </w:style>
  <w:style w:type="character" w:customStyle="1" w:styleId="Heading8Char">
    <w:name w:val="Heading 8 Char"/>
    <w:basedOn w:val="DefaultParagraphFont"/>
    <w:link w:val="Heading8"/>
    <w:rsid w:val="008C69E7"/>
    <w:rPr>
      <w:rFonts w:ascii="Arial" w:eastAsia="Times New Roman" w:hAnsi="Arial" w:cs="Times New Roman"/>
      <w:i/>
      <w:sz w:val="18"/>
      <w:szCs w:val="20"/>
    </w:rPr>
  </w:style>
  <w:style w:type="character" w:customStyle="1" w:styleId="Heading9Char">
    <w:name w:val="Heading 9 Char"/>
    <w:basedOn w:val="DefaultParagraphFont"/>
    <w:link w:val="Heading9"/>
    <w:rsid w:val="008C69E7"/>
    <w:rPr>
      <w:rFonts w:ascii="Arial" w:eastAsia="Times New Roman" w:hAnsi="Arial" w:cs="Times New Roman"/>
      <w:i/>
      <w:sz w:val="18"/>
      <w:szCs w:val="20"/>
    </w:rPr>
  </w:style>
  <w:style w:type="character" w:styleId="FootnoteReference">
    <w:name w:val="footnote reference"/>
    <w:basedOn w:val="DefaultParagraphFont"/>
    <w:semiHidden/>
    <w:rsid w:val="008C69E7"/>
    <w:rPr>
      <w:rFonts w:ascii="Times New Roman" w:hAnsi="Times New Roman"/>
      <w:sz w:val="18"/>
      <w:vertAlign w:val="superscript"/>
    </w:rPr>
  </w:style>
  <w:style w:type="paragraph" w:customStyle="1" w:styleId="Author">
    <w:name w:val="Author"/>
    <w:basedOn w:val="Normal"/>
    <w:rsid w:val="008C69E7"/>
    <w:pPr>
      <w:jc w:val="center"/>
    </w:pPr>
    <w:rPr>
      <w:rFonts w:ascii="Helvetica" w:hAnsi="Helvetica"/>
      <w:sz w:val="24"/>
    </w:rPr>
  </w:style>
  <w:style w:type="paragraph" w:customStyle="1" w:styleId="Paper-Title">
    <w:name w:val="Paper-Title"/>
    <w:basedOn w:val="Normal"/>
    <w:rsid w:val="008C69E7"/>
    <w:pPr>
      <w:spacing w:after="120"/>
      <w:jc w:val="center"/>
    </w:pPr>
    <w:rPr>
      <w:rFonts w:ascii="Helvetica" w:hAnsi="Helvetica"/>
      <w:b/>
      <w:sz w:val="36"/>
    </w:rPr>
  </w:style>
  <w:style w:type="paragraph" w:customStyle="1" w:styleId="Affiliations">
    <w:name w:val="Affiliations"/>
    <w:basedOn w:val="Normal"/>
    <w:rsid w:val="008C69E7"/>
    <w:pPr>
      <w:jc w:val="center"/>
    </w:pPr>
    <w:rPr>
      <w:rFonts w:ascii="Helvetica" w:hAnsi="Helvetica"/>
      <w:sz w:val="20"/>
    </w:rPr>
  </w:style>
  <w:style w:type="paragraph" w:styleId="FootnoteText">
    <w:name w:val="footnote text"/>
    <w:basedOn w:val="Normal"/>
    <w:link w:val="FootnoteTextChar"/>
    <w:semiHidden/>
    <w:rsid w:val="008C69E7"/>
    <w:pPr>
      <w:ind w:left="144" w:hanging="144"/>
    </w:pPr>
  </w:style>
  <w:style w:type="character" w:customStyle="1" w:styleId="FootnoteTextChar">
    <w:name w:val="Footnote Text Char"/>
    <w:basedOn w:val="DefaultParagraphFont"/>
    <w:link w:val="FootnoteText"/>
    <w:semiHidden/>
    <w:rsid w:val="008C69E7"/>
    <w:rPr>
      <w:rFonts w:ascii="Times New Roman" w:eastAsia="Times New Roman" w:hAnsi="Times New Roman" w:cs="Times New Roman"/>
      <w:sz w:val="18"/>
      <w:szCs w:val="20"/>
    </w:rPr>
  </w:style>
  <w:style w:type="paragraph" w:styleId="Footer">
    <w:name w:val="footer"/>
    <w:basedOn w:val="Normal"/>
    <w:link w:val="FooterChar"/>
    <w:rsid w:val="008C69E7"/>
    <w:pPr>
      <w:tabs>
        <w:tab w:val="center" w:pos="4320"/>
        <w:tab w:val="right" w:pos="8640"/>
      </w:tabs>
    </w:pPr>
  </w:style>
  <w:style w:type="character" w:customStyle="1" w:styleId="FooterChar">
    <w:name w:val="Footer Char"/>
    <w:basedOn w:val="DefaultParagraphFont"/>
    <w:link w:val="Footer"/>
    <w:rsid w:val="008C69E7"/>
    <w:rPr>
      <w:rFonts w:ascii="Times New Roman" w:eastAsia="Times New Roman" w:hAnsi="Times New Roman" w:cs="Times New Roman"/>
      <w:sz w:val="18"/>
      <w:szCs w:val="20"/>
    </w:rPr>
  </w:style>
  <w:style w:type="paragraph" w:customStyle="1" w:styleId="Abstract">
    <w:name w:val="Abstract"/>
    <w:basedOn w:val="Heading1"/>
    <w:rsid w:val="008C69E7"/>
    <w:pPr>
      <w:numPr>
        <w:numId w:val="0"/>
      </w:numPr>
      <w:spacing w:before="0" w:after="120"/>
      <w:jc w:val="both"/>
      <w:outlineLvl w:val="9"/>
    </w:pPr>
    <w:rPr>
      <w:b w:val="0"/>
      <w:sz w:val="18"/>
    </w:rPr>
  </w:style>
  <w:style w:type="paragraph" w:customStyle="1" w:styleId="References">
    <w:name w:val="References"/>
    <w:basedOn w:val="Normal"/>
    <w:rsid w:val="008C69E7"/>
    <w:pPr>
      <w:numPr>
        <w:numId w:val="2"/>
      </w:numPr>
      <w:jc w:val="left"/>
    </w:pPr>
  </w:style>
  <w:style w:type="character" w:styleId="PageNumber">
    <w:name w:val="page number"/>
    <w:basedOn w:val="DefaultParagraphFont"/>
    <w:rsid w:val="008C69E7"/>
  </w:style>
  <w:style w:type="paragraph" w:styleId="BodyTextIndent">
    <w:name w:val="Body Text Indent"/>
    <w:basedOn w:val="Normal"/>
    <w:link w:val="BodyTextIndentChar"/>
    <w:rsid w:val="008C69E7"/>
    <w:pPr>
      <w:spacing w:after="0"/>
      <w:ind w:firstLine="360"/>
    </w:pPr>
  </w:style>
  <w:style w:type="character" w:customStyle="1" w:styleId="BodyTextIndentChar">
    <w:name w:val="Body Text Indent Char"/>
    <w:basedOn w:val="DefaultParagraphFont"/>
    <w:link w:val="BodyTextIndent"/>
    <w:rsid w:val="008C69E7"/>
    <w:rPr>
      <w:rFonts w:ascii="Times New Roman" w:eastAsia="Times New Roman" w:hAnsi="Times New Roman" w:cs="Times New Roman"/>
      <w:sz w:val="18"/>
      <w:szCs w:val="20"/>
    </w:rPr>
  </w:style>
  <w:style w:type="paragraph" w:styleId="Caption">
    <w:name w:val="caption"/>
    <w:basedOn w:val="Normal"/>
    <w:next w:val="Normal"/>
    <w:qFormat/>
    <w:rsid w:val="008C69E7"/>
    <w:pPr>
      <w:jc w:val="center"/>
    </w:pPr>
    <w:rPr>
      <w:rFonts w:cs="Miriam"/>
      <w:b/>
      <w:bCs/>
      <w:szCs w:val="18"/>
      <w:lang w:eastAsia="en-AU"/>
    </w:rPr>
  </w:style>
  <w:style w:type="paragraph" w:styleId="ListNumber3">
    <w:name w:val="List Number 3"/>
    <w:basedOn w:val="Normal"/>
    <w:uiPriority w:val="99"/>
    <w:semiHidden/>
    <w:unhideWhenUsed/>
    <w:rsid w:val="008C69E7"/>
    <w:pPr>
      <w:numPr>
        <w:numId w:val="1"/>
      </w:numPr>
      <w:contextualSpacing/>
    </w:pPr>
  </w:style>
  <w:style w:type="character" w:customStyle="1" w:styleId="apple-converted-space">
    <w:name w:val="apple-converted-space"/>
    <w:basedOn w:val="DefaultParagraphFont"/>
    <w:rsid w:val="00991313"/>
  </w:style>
  <w:style w:type="character" w:styleId="Hyperlink">
    <w:name w:val="Hyperlink"/>
    <w:basedOn w:val="DefaultParagraphFont"/>
    <w:uiPriority w:val="99"/>
    <w:unhideWhenUsed/>
    <w:rsid w:val="00A13E79"/>
    <w:rPr>
      <w:color w:val="0000FF" w:themeColor="hyperlink"/>
      <w:u w:val="single"/>
    </w:rPr>
  </w:style>
  <w:style w:type="paragraph" w:styleId="ListParagraph">
    <w:name w:val="List Paragraph"/>
    <w:basedOn w:val="Normal"/>
    <w:uiPriority w:val="34"/>
    <w:qFormat/>
    <w:rsid w:val="003661CC"/>
    <w:pPr>
      <w:ind w:left="720"/>
      <w:contextualSpacing/>
    </w:pPr>
  </w:style>
  <w:style w:type="paragraph" w:styleId="BalloonText">
    <w:name w:val="Balloon Text"/>
    <w:basedOn w:val="Normal"/>
    <w:link w:val="BalloonTextChar"/>
    <w:uiPriority w:val="99"/>
    <w:semiHidden/>
    <w:unhideWhenUsed/>
    <w:rsid w:val="00DC160E"/>
    <w:pPr>
      <w:spacing w:after="0"/>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DC160E"/>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9E7"/>
    <w:pPr>
      <w:spacing w:after="80"/>
      <w:jc w:val="both"/>
    </w:pPr>
    <w:rPr>
      <w:rFonts w:ascii="Times New Roman" w:eastAsia="Times New Roman" w:hAnsi="Times New Roman" w:cs="Times New Roman"/>
      <w:sz w:val="18"/>
      <w:szCs w:val="20"/>
    </w:rPr>
  </w:style>
  <w:style w:type="paragraph" w:styleId="Heading1">
    <w:name w:val="heading 1"/>
    <w:basedOn w:val="Normal"/>
    <w:next w:val="Normal"/>
    <w:link w:val="Heading1Char"/>
    <w:qFormat/>
    <w:rsid w:val="008C69E7"/>
    <w:pPr>
      <w:keepNext/>
      <w:numPr>
        <w:numId w:val="6"/>
      </w:numPr>
      <w:spacing w:before="40" w:after="0"/>
      <w:jc w:val="left"/>
      <w:outlineLvl w:val="0"/>
    </w:pPr>
    <w:rPr>
      <w:b/>
      <w:kern w:val="28"/>
      <w:sz w:val="24"/>
    </w:rPr>
  </w:style>
  <w:style w:type="paragraph" w:styleId="Heading2">
    <w:name w:val="heading 2"/>
    <w:basedOn w:val="Heading1"/>
    <w:next w:val="Normal"/>
    <w:link w:val="Heading2Char"/>
    <w:qFormat/>
    <w:rsid w:val="008C69E7"/>
    <w:pPr>
      <w:numPr>
        <w:ilvl w:val="1"/>
      </w:numPr>
      <w:outlineLvl w:val="1"/>
    </w:pPr>
  </w:style>
  <w:style w:type="paragraph" w:styleId="Heading3">
    <w:name w:val="heading 3"/>
    <w:basedOn w:val="Heading2"/>
    <w:next w:val="Normal"/>
    <w:link w:val="Heading3Char"/>
    <w:qFormat/>
    <w:rsid w:val="008C69E7"/>
    <w:pPr>
      <w:numPr>
        <w:ilvl w:val="2"/>
      </w:numPr>
      <w:outlineLvl w:val="2"/>
    </w:pPr>
    <w:rPr>
      <w:b w:val="0"/>
      <w:i/>
      <w:sz w:val="22"/>
    </w:rPr>
  </w:style>
  <w:style w:type="paragraph" w:styleId="Heading4">
    <w:name w:val="heading 4"/>
    <w:basedOn w:val="Heading3"/>
    <w:next w:val="Normal"/>
    <w:link w:val="Heading4Char"/>
    <w:qFormat/>
    <w:rsid w:val="008C69E7"/>
    <w:pPr>
      <w:numPr>
        <w:ilvl w:val="3"/>
      </w:numPr>
      <w:outlineLvl w:val="3"/>
    </w:pPr>
  </w:style>
  <w:style w:type="paragraph" w:styleId="Heading5">
    <w:name w:val="heading 5"/>
    <w:basedOn w:val="ListNumber3"/>
    <w:next w:val="Normal"/>
    <w:link w:val="Heading5Char"/>
    <w:qFormat/>
    <w:rsid w:val="008C69E7"/>
    <w:pPr>
      <w:numPr>
        <w:ilvl w:val="4"/>
        <w:numId w:val="6"/>
      </w:numPr>
      <w:spacing w:before="40" w:after="0"/>
      <w:contextualSpacing w:val="0"/>
      <w:jc w:val="left"/>
      <w:outlineLvl w:val="4"/>
    </w:pPr>
    <w:rPr>
      <w:i/>
      <w:sz w:val="22"/>
    </w:rPr>
  </w:style>
  <w:style w:type="paragraph" w:styleId="Heading6">
    <w:name w:val="heading 6"/>
    <w:basedOn w:val="Normal"/>
    <w:next w:val="Normal"/>
    <w:link w:val="Heading6Char"/>
    <w:qFormat/>
    <w:rsid w:val="008C69E7"/>
    <w:pPr>
      <w:numPr>
        <w:ilvl w:val="5"/>
        <w:numId w:val="6"/>
      </w:numPr>
      <w:spacing w:before="240" w:after="60"/>
      <w:outlineLvl w:val="5"/>
    </w:pPr>
    <w:rPr>
      <w:rFonts w:ascii="Arial" w:hAnsi="Arial"/>
      <w:i/>
      <w:sz w:val="22"/>
    </w:rPr>
  </w:style>
  <w:style w:type="paragraph" w:styleId="Heading7">
    <w:name w:val="heading 7"/>
    <w:basedOn w:val="Normal"/>
    <w:next w:val="Normal"/>
    <w:link w:val="Heading7Char"/>
    <w:qFormat/>
    <w:rsid w:val="008C69E7"/>
    <w:pPr>
      <w:numPr>
        <w:ilvl w:val="6"/>
        <w:numId w:val="6"/>
      </w:numPr>
      <w:spacing w:before="240" w:after="60"/>
      <w:outlineLvl w:val="6"/>
    </w:pPr>
    <w:rPr>
      <w:rFonts w:ascii="Arial" w:hAnsi="Arial"/>
    </w:rPr>
  </w:style>
  <w:style w:type="paragraph" w:styleId="Heading8">
    <w:name w:val="heading 8"/>
    <w:basedOn w:val="Normal"/>
    <w:next w:val="Normal"/>
    <w:link w:val="Heading8Char"/>
    <w:qFormat/>
    <w:rsid w:val="008C69E7"/>
    <w:pPr>
      <w:numPr>
        <w:ilvl w:val="7"/>
        <w:numId w:val="6"/>
      </w:numPr>
      <w:spacing w:before="240" w:after="60"/>
      <w:outlineLvl w:val="7"/>
    </w:pPr>
    <w:rPr>
      <w:rFonts w:ascii="Arial" w:hAnsi="Arial"/>
      <w:i/>
    </w:rPr>
  </w:style>
  <w:style w:type="paragraph" w:styleId="Heading9">
    <w:name w:val="heading 9"/>
    <w:basedOn w:val="Normal"/>
    <w:next w:val="Normal"/>
    <w:link w:val="Heading9Char"/>
    <w:qFormat/>
    <w:rsid w:val="008C69E7"/>
    <w:pPr>
      <w:numPr>
        <w:ilvl w:val="8"/>
        <w:numId w:val="6"/>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69E7"/>
    <w:rPr>
      <w:rFonts w:ascii="Times New Roman" w:eastAsia="Times New Roman" w:hAnsi="Times New Roman" w:cs="Times New Roman"/>
      <w:b/>
      <w:kern w:val="28"/>
      <w:szCs w:val="20"/>
    </w:rPr>
  </w:style>
  <w:style w:type="character" w:customStyle="1" w:styleId="Heading2Char">
    <w:name w:val="Heading 2 Char"/>
    <w:basedOn w:val="DefaultParagraphFont"/>
    <w:link w:val="Heading2"/>
    <w:rsid w:val="008C69E7"/>
    <w:rPr>
      <w:rFonts w:ascii="Times New Roman" w:eastAsia="Times New Roman" w:hAnsi="Times New Roman" w:cs="Times New Roman"/>
      <w:b/>
      <w:kern w:val="28"/>
      <w:szCs w:val="20"/>
    </w:rPr>
  </w:style>
  <w:style w:type="character" w:customStyle="1" w:styleId="Heading3Char">
    <w:name w:val="Heading 3 Char"/>
    <w:basedOn w:val="DefaultParagraphFont"/>
    <w:link w:val="Heading3"/>
    <w:rsid w:val="008C69E7"/>
    <w:rPr>
      <w:rFonts w:ascii="Times New Roman" w:eastAsia="Times New Roman" w:hAnsi="Times New Roman" w:cs="Times New Roman"/>
      <w:i/>
      <w:kern w:val="28"/>
      <w:sz w:val="22"/>
      <w:szCs w:val="20"/>
    </w:rPr>
  </w:style>
  <w:style w:type="character" w:customStyle="1" w:styleId="Heading4Char">
    <w:name w:val="Heading 4 Char"/>
    <w:basedOn w:val="DefaultParagraphFont"/>
    <w:link w:val="Heading4"/>
    <w:rsid w:val="008C69E7"/>
    <w:rPr>
      <w:rFonts w:ascii="Times New Roman" w:eastAsia="Times New Roman" w:hAnsi="Times New Roman" w:cs="Times New Roman"/>
      <w:i/>
      <w:kern w:val="28"/>
      <w:sz w:val="22"/>
      <w:szCs w:val="20"/>
    </w:rPr>
  </w:style>
  <w:style w:type="character" w:customStyle="1" w:styleId="Heading5Char">
    <w:name w:val="Heading 5 Char"/>
    <w:basedOn w:val="DefaultParagraphFont"/>
    <w:link w:val="Heading5"/>
    <w:rsid w:val="008C69E7"/>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8C69E7"/>
    <w:rPr>
      <w:rFonts w:ascii="Arial" w:eastAsia="Times New Roman" w:hAnsi="Arial" w:cs="Times New Roman"/>
      <w:i/>
      <w:sz w:val="22"/>
      <w:szCs w:val="20"/>
    </w:rPr>
  </w:style>
  <w:style w:type="character" w:customStyle="1" w:styleId="Heading7Char">
    <w:name w:val="Heading 7 Char"/>
    <w:basedOn w:val="DefaultParagraphFont"/>
    <w:link w:val="Heading7"/>
    <w:rsid w:val="008C69E7"/>
    <w:rPr>
      <w:rFonts w:ascii="Arial" w:eastAsia="Times New Roman" w:hAnsi="Arial" w:cs="Times New Roman"/>
      <w:sz w:val="18"/>
      <w:szCs w:val="20"/>
    </w:rPr>
  </w:style>
  <w:style w:type="character" w:customStyle="1" w:styleId="Heading8Char">
    <w:name w:val="Heading 8 Char"/>
    <w:basedOn w:val="DefaultParagraphFont"/>
    <w:link w:val="Heading8"/>
    <w:rsid w:val="008C69E7"/>
    <w:rPr>
      <w:rFonts w:ascii="Arial" w:eastAsia="Times New Roman" w:hAnsi="Arial" w:cs="Times New Roman"/>
      <w:i/>
      <w:sz w:val="18"/>
      <w:szCs w:val="20"/>
    </w:rPr>
  </w:style>
  <w:style w:type="character" w:customStyle="1" w:styleId="Heading9Char">
    <w:name w:val="Heading 9 Char"/>
    <w:basedOn w:val="DefaultParagraphFont"/>
    <w:link w:val="Heading9"/>
    <w:rsid w:val="008C69E7"/>
    <w:rPr>
      <w:rFonts w:ascii="Arial" w:eastAsia="Times New Roman" w:hAnsi="Arial" w:cs="Times New Roman"/>
      <w:i/>
      <w:sz w:val="18"/>
      <w:szCs w:val="20"/>
    </w:rPr>
  </w:style>
  <w:style w:type="character" w:styleId="FootnoteReference">
    <w:name w:val="footnote reference"/>
    <w:basedOn w:val="DefaultParagraphFont"/>
    <w:semiHidden/>
    <w:rsid w:val="008C69E7"/>
    <w:rPr>
      <w:rFonts w:ascii="Times New Roman" w:hAnsi="Times New Roman"/>
      <w:sz w:val="18"/>
      <w:vertAlign w:val="superscript"/>
    </w:rPr>
  </w:style>
  <w:style w:type="paragraph" w:customStyle="1" w:styleId="Author">
    <w:name w:val="Author"/>
    <w:basedOn w:val="Normal"/>
    <w:rsid w:val="008C69E7"/>
    <w:pPr>
      <w:jc w:val="center"/>
    </w:pPr>
    <w:rPr>
      <w:rFonts w:ascii="Helvetica" w:hAnsi="Helvetica"/>
      <w:sz w:val="24"/>
    </w:rPr>
  </w:style>
  <w:style w:type="paragraph" w:customStyle="1" w:styleId="Paper-Title">
    <w:name w:val="Paper-Title"/>
    <w:basedOn w:val="Normal"/>
    <w:rsid w:val="008C69E7"/>
    <w:pPr>
      <w:spacing w:after="120"/>
      <w:jc w:val="center"/>
    </w:pPr>
    <w:rPr>
      <w:rFonts w:ascii="Helvetica" w:hAnsi="Helvetica"/>
      <w:b/>
      <w:sz w:val="36"/>
    </w:rPr>
  </w:style>
  <w:style w:type="paragraph" w:customStyle="1" w:styleId="Affiliations">
    <w:name w:val="Affiliations"/>
    <w:basedOn w:val="Normal"/>
    <w:rsid w:val="008C69E7"/>
    <w:pPr>
      <w:jc w:val="center"/>
    </w:pPr>
    <w:rPr>
      <w:rFonts w:ascii="Helvetica" w:hAnsi="Helvetica"/>
      <w:sz w:val="20"/>
    </w:rPr>
  </w:style>
  <w:style w:type="paragraph" w:styleId="FootnoteText">
    <w:name w:val="footnote text"/>
    <w:basedOn w:val="Normal"/>
    <w:link w:val="FootnoteTextChar"/>
    <w:semiHidden/>
    <w:rsid w:val="008C69E7"/>
    <w:pPr>
      <w:ind w:left="144" w:hanging="144"/>
    </w:pPr>
  </w:style>
  <w:style w:type="character" w:customStyle="1" w:styleId="FootnoteTextChar">
    <w:name w:val="Footnote Text Char"/>
    <w:basedOn w:val="DefaultParagraphFont"/>
    <w:link w:val="FootnoteText"/>
    <w:semiHidden/>
    <w:rsid w:val="008C69E7"/>
    <w:rPr>
      <w:rFonts w:ascii="Times New Roman" w:eastAsia="Times New Roman" w:hAnsi="Times New Roman" w:cs="Times New Roman"/>
      <w:sz w:val="18"/>
      <w:szCs w:val="20"/>
    </w:rPr>
  </w:style>
  <w:style w:type="paragraph" w:styleId="Footer">
    <w:name w:val="footer"/>
    <w:basedOn w:val="Normal"/>
    <w:link w:val="FooterChar"/>
    <w:rsid w:val="008C69E7"/>
    <w:pPr>
      <w:tabs>
        <w:tab w:val="center" w:pos="4320"/>
        <w:tab w:val="right" w:pos="8640"/>
      </w:tabs>
    </w:pPr>
  </w:style>
  <w:style w:type="character" w:customStyle="1" w:styleId="FooterChar">
    <w:name w:val="Footer Char"/>
    <w:basedOn w:val="DefaultParagraphFont"/>
    <w:link w:val="Footer"/>
    <w:rsid w:val="008C69E7"/>
    <w:rPr>
      <w:rFonts w:ascii="Times New Roman" w:eastAsia="Times New Roman" w:hAnsi="Times New Roman" w:cs="Times New Roman"/>
      <w:sz w:val="18"/>
      <w:szCs w:val="20"/>
    </w:rPr>
  </w:style>
  <w:style w:type="paragraph" w:customStyle="1" w:styleId="Abstract">
    <w:name w:val="Abstract"/>
    <w:basedOn w:val="Heading1"/>
    <w:rsid w:val="008C69E7"/>
    <w:pPr>
      <w:numPr>
        <w:numId w:val="0"/>
      </w:numPr>
      <w:spacing w:before="0" w:after="120"/>
      <w:jc w:val="both"/>
      <w:outlineLvl w:val="9"/>
    </w:pPr>
    <w:rPr>
      <w:b w:val="0"/>
      <w:sz w:val="18"/>
    </w:rPr>
  </w:style>
  <w:style w:type="paragraph" w:customStyle="1" w:styleId="References">
    <w:name w:val="References"/>
    <w:basedOn w:val="Normal"/>
    <w:rsid w:val="008C69E7"/>
    <w:pPr>
      <w:numPr>
        <w:numId w:val="2"/>
      </w:numPr>
      <w:jc w:val="left"/>
    </w:pPr>
  </w:style>
  <w:style w:type="character" w:styleId="PageNumber">
    <w:name w:val="page number"/>
    <w:basedOn w:val="DefaultParagraphFont"/>
    <w:rsid w:val="008C69E7"/>
  </w:style>
  <w:style w:type="paragraph" w:styleId="BodyTextIndent">
    <w:name w:val="Body Text Indent"/>
    <w:basedOn w:val="Normal"/>
    <w:link w:val="BodyTextIndentChar"/>
    <w:rsid w:val="008C69E7"/>
    <w:pPr>
      <w:spacing w:after="0"/>
      <w:ind w:firstLine="360"/>
    </w:pPr>
  </w:style>
  <w:style w:type="character" w:customStyle="1" w:styleId="BodyTextIndentChar">
    <w:name w:val="Body Text Indent Char"/>
    <w:basedOn w:val="DefaultParagraphFont"/>
    <w:link w:val="BodyTextIndent"/>
    <w:rsid w:val="008C69E7"/>
    <w:rPr>
      <w:rFonts w:ascii="Times New Roman" w:eastAsia="Times New Roman" w:hAnsi="Times New Roman" w:cs="Times New Roman"/>
      <w:sz w:val="18"/>
      <w:szCs w:val="20"/>
    </w:rPr>
  </w:style>
  <w:style w:type="paragraph" w:styleId="Caption">
    <w:name w:val="caption"/>
    <w:basedOn w:val="Normal"/>
    <w:next w:val="Normal"/>
    <w:qFormat/>
    <w:rsid w:val="008C69E7"/>
    <w:pPr>
      <w:jc w:val="center"/>
    </w:pPr>
    <w:rPr>
      <w:rFonts w:cs="Miriam"/>
      <w:b/>
      <w:bCs/>
      <w:szCs w:val="18"/>
      <w:lang w:eastAsia="en-AU"/>
    </w:rPr>
  </w:style>
  <w:style w:type="paragraph" w:styleId="ListNumber3">
    <w:name w:val="List Number 3"/>
    <w:basedOn w:val="Normal"/>
    <w:uiPriority w:val="99"/>
    <w:semiHidden/>
    <w:unhideWhenUsed/>
    <w:rsid w:val="008C69E7"/>
    <w:pPr>
      <w:numPr>
        <w:numId w:val="1"/>
      </w:numPr>
      <w:contextualSpacing/>
    </w:pPr>
  </w:style>
  <w:style w:type="character" w:customStyle="1" w:styleId="apple-converted-space">
    <w:name w:val="apple-converted-space"/>
    <w:basedOn w:val="DefaultParagraphFont"/>
    <w:rsid w:val="00991313"/>
  </w:style>
  <w:style w:type="character" w:styleId="Hyperlink">
    <w:name w:val="Hyperlink"/>
    <w:basedOn w:val="DefaultParagraphFont"/>
    <w:uiPriority w:val="99"/>
    <w:unhideWhenUsed/>
    <w:rsid w:val="00A13E79"/>
    <w:rPr>
      <w:color w:val="0000FF" w:themeColor="hyperlink"/>
      <w:u w:val="single"/>
    </w:rPr>
  </w:style>
  <w:style w:type="paragraph" w:styleId="ListParagraph">
    <w:name w:val="List Paragraph"/>
    <w:basedOn w:val="Normal"/>
    <w:uiPriority w:val="34"/>
    <w:qFormat/>
    <w:rsid w:val="003661CC"/>
    <w:pPr>
      <w:ind w:left="720"/>
      <w:contextualSpacing/>
    </w:pPr>
  </w:style>
  <w:style w:type="paragraph" w:styleId="BalloonText">
    <w:name w:val="Balloon Text"/>
    <w:basedOn w:val="Normal"/>
    <w:link w:val="BalloonTextChar"/>
    <w:uiPriority w:val="99"/>
    <w:semiHidden/>
    <w:unhideWhenUsed/>
    <w:rsid w:val="00DC160E"/>
    <w:pPr>
      <w:spacing w:after="0"/>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DC160E"/>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385390">
      <w:bodyDiv w:val="1"/>
      <w:marLeft w:val="0"/>
      <w:marRight w:val="0"/>
      <w:marTop w:val="0"/>
      <w:marBottom w:val="0"/>
      <w:divBdr>
        <w:top w:val="none" w:sz="0" w:space="0" w:color="auto"/>
        <w:left w:val="none" w:sz="0" w:space="0" w:color="auto"/>
        <w:bottom w:val="none" w:sz="0" w:space="0" w:color="auto"/>
        <w:right w:val="none" w:sz="0" w:space="0" w:color="auto"/>
      </w:divBdr>
    </w:div>
    <w:div w:id="428501447">
      <w:bodyDiv w:val="1"/>
      <w:marLeft w:val="0"/>
      <w:marRight w:val="0"/>
      <w:marTop w:val="0"/>
      <w:marBottom w:val="0"/>
      <w:divBdr>
        <w:top w:val="none" w:sz="0" w:space="0" w:color="auto"/>
        <w:left w:val="none" w:sz="0" w:space="0" w:color="auto"/>
        <w:bottom w:val="none" w:sz="0" w:space="0" w:color="auto"/>
        <w:right w:val="none" w:sz="0" w:space="0" w:color="auto"/>
      </w:divBdr>
    </w:div>
    <w:div w:id="495072169">
      <w:bodyDiv w:val="1"/>
      <w:marLeft w:val="0"/>
      <w:marRight w:val="0"/>
      <w:marTop w:val="0"/>
      <w:marBottom w:val="0"/>
      <w:divBdr>
        <w:top w:val="none" w:sz="0" w:space="0" w:color="auto"/>
        <w:left w:val="none" w:sz="0" w:space="0" w:color="auto"/>
        <w:bottom w:val="none" w:sz="0" w:space="0" w:color="auto"/>
        <w:right w:val="none" w:sz="0" w:space="0" w:color="auto"/>
      </w:divBdr>
    </w:div>
    <w:div w:id="553857426">
      <w:bodyDiv w:val="1"/>
      <w:marLeft w:val="0"/>
      <w:marRight w:val="0"/>
      <w:marTop w:val="0"/>
      <w:marBottom w:val="0"/>
      <w:divBdr>
        <w:top w:val="none" w:sz="0" w:space="0" w:color="auto"/>
        <w:left w:val="none" w:sz="0" w:space="0" w:color="auto"/>
        <w:bottom w:val="none" w:sz="0" w:space="0" w:color="auto"/>
        <w:right w:val="none" w:sz="0" w:space="0" w:color="auto"/>
      </w:divBdr>
    </w:div>
    <w:div w:id="825820350">
      <w:bodyDiv w:val="1"/>
      <w:marLeft w:val="0"/>
      <w:marRight w:val="0"/>
      <w:marTop w:val="0"/>
      <w:marBottom w:val="0"/>
      <w:divBdr>
        <w:top w:val="none" w:sz="0" w:space="0" w:color="auto"/>
        <w:left w:val="none" w:sz="0" w:space="0" w:color="auto"/>
        <w:bottom w:val="none" w:sz="0" w:space="0" w:color="auto"/>
        <w:right w:val="none" w:sz="0" w:space="0" w:color="auto"/>
      </w:divBdr>
    </w:div>
    <w:div w:id="895240937">
      <w:bodyDiv w:val="1"/>
      <w:marLeft w:val="0"/>
      <w:marRight w:val="0"/>
      <w:marTop w:val="0"/>
      <w:marBottom w:val="0"/>
      <w:divBdr>
        <w:top w:val="none" w:sz="0" w:space="0" w:color="auto"/>
        <w:left w:val="none" w:sz="0" w:space="0" w:color="auto"/>
        <w:bottom w:val="none" w:sz="0" w:space="0" w:color="auto"/>
        <w:right w:val="none" w:sz="0" w:space="0" w:color="auto"/>
      </w:divBdr>
    </w:div>
    <w:div w:id="924073477">
      <w:bodyDiv w:val="1"/>
      <w:marLeft w:val="0"/>
      <w:marRight w:val="0"/>
      <w:marTop w:val="0"/>
      <w:marBottom w:val="0"/>
      <w:divBdr>
        <w:top w:val="none" w:sz="0" w:space="0" w:color="auto"/>
        <w:left w:val="none" w:sz="0" w:space="0" w:color="auto"/>
        <w:bottom w:val="none" w:sz="0" w:space="0" w:color="auto"/>
        <w:right w:val="none" w:sz="0" w:space="0" w:color="auto"/>
      </w:divBdr>
    </w:div>
    <w:div w:id="992685685">
      <w:bodyDiv w:val="1"/>
      <w:marLeft w:val="0"/>
      <w:marRight w:val="0"/>
      <w:marTop w:val="0"/>
      <w:marBottom w:val="0"/>
      <w:divBdr>
        <w:top w:val="none" w:sz="0" w:space="0" w:color="auto"/>
        <w:left w:val="none" w:sz="0" w:space="0" w:color="auto"/>
        <w:bottom w:val="none" w:sz="0" w:space="0" w:color="auto"/>
        <w:right w:val="none" w:sz="0" w:space="0" w:color="auto"/>
      </w:divBdr>
    </w:div>
    <w:div w:id="1312783266">
      <w:bodyDiv w:val="1"/>
      <w:marLeft w:val="0"/>
      <w:marRight w:val="0"/>
      <w:marTop w:val="0"/>
      <w:marBottom w:val="0"/>
      <w:divBdr>
        <w:top w:val="none" w:sz="0" w:space="0" w:color="auto"/>
        <w:left w:val="none" w:sz="0" w:space="0" w:color="auto"/>
        <w:bottom w:val="none" w:sz="0" w:space="0" w:color="auto"/>
        <w:right w:val="none" w:sz="0" w:space="0" w:color="auto"/>
      </w:divBdr>
    </w:div>
    <w:div w:id="1331058764">
      <w:bodyDiv w:val="1"/>
      <w:marLeft w:val="0"/>
      <w:marRight w:val="0"/>
      <w:marTop w:val="0"/>
      <w:marBottom w:val="0"/>
      <w:divBdr>
        <w:top w:val="none" w:sz="0" w:space="0" w:color="auto"/>
        <w:left w:val="none" w:sz="0" w:space="0" w:color="auto"/>
        <w:bottom w:val="none" w:sz="0" w:space="0" w:color="auto"/>
        <w:right w:val="none" w:sz="0" w:space="0" w:color="auto"/>
      </w:divBdr>
    </w:div>
    <w:div w:id="1598562046">
      <w:bodyDiv w:val="1"/>
      <w:marLeft w:val="0"/>
      <w:marRight w:val="0"/>
      <w:marTop w:val="0"/>
      <w:marBottom w:val="0"/>
      <w:divBdr>
        <w:top w:val="none" w:sz="0" w:space="0" w:color="auto"/>
        <w:left w:val="none" w:sz="0" w:space="0" w:color="auto"/>
        <w:bottom w:val="none" w:sz="0" w:space="0" w:color="auto"/>
        <w:right w:val="none" w:sz="0" w:space="0" w:color="auto"/>
      </w:divBdr>
    </w:div>
    <w:div w:id="1661932222">
      <w:bodyDiv w:val="1"/>
      <w:marLeft w:val="0"/>
      <w:marRight w:val="0"/>
      <w:marTop w:val="0"/>
      <w:marBottom w:val="0"/>
      <w:divBdr>
        <w:top w:val="none" w:sz="0" w:space="0" w:color="auto"/>
        <w:left w:val="none" w:sz="0" w:space="0" w:color="auto"/>
        <w:bottom w:val="none" w:sz="0" w:space="0" w:color="auto"/>
        <w:right w:val="none" w:sz="0" w:space="0" w:color="auto"/>
      </w:divBdr>
    </w:div>
    <w:div w:id="1918981759">
      <w:bodyDiv w:val="1"/>
      <w:marLeft w:val="0"/>
      <w:marRight w:val="0"/>
      <w:marTop w:val="0"/>
      <w:marBottom w:val="0"/>
      <w:divBdr>
        <w:top w:val="none" w:sz="0" w:space="0" w:color="auto"/>
        <w:left w:val="none" w:sz="0" w:space="0" w:color="auto"/>
        <w:bottom w:val="none" w:sz="0" w:space="0" w:color="auto"/>
        <w:right w:val="none" w:sz="0" w:space="0" w:color="auto"/>
      </w:divBdr>
    </w:div>
    <w:div w:id="1947301584">
      <w:bodyDiv w:val="1"/>
      <w:marLeft w:val="0"/>
      <w:marRight w:val="0"/>
      <w:marTop w:val="0"/>
      <w:marBottom w:val="0"/>
      <w:divBdr>
        <w:top w:val="none" w:sz="0" w:space="0" w:color="auto"/>
        <w:left w:val="none" w:sz="0" w:space="0" w:color="auto"/>
        <w:bottom w:val="none" w:sz="0" w:space="0" w:color="auto"/>
        <w:right w:val="none" w:sz="0" w:space="0" w:color="auto"/>
      </w:divBdr>
    </w:div>
    <w:div w:id="20553498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chart" Target="charts/chart3.xml"/><Relationship Id="rId13" Type="http://schemas.openxmlformats.org/officeDocument/2006/relationships/image" Target="media/image2.png"/><Relationship Id="rId14" Type="http://schemas.openxmlformats.org/officeDocument/2006/relationships/chart" Target="charts/chart4.xml"/><Relationship Id="rId15" Type="http://schemas.openxmlformats.org/officeDocument/2006/relationships/chart" Target="charts/chart5.xml"/><Relationship Id="rId16" Type="http://schemas.openxmlformats.org/officeDocument/2006/relationships/chart" Target="charts/chart6.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ndy\Documents\ProjectFrequencyAnalysi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ndy\Documents\ProjectFrequencyAnalysi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ndy\Documents\ProjectFrequencyAnalysi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ndy\Documents\VLSIFinalPresentation-Repor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ndy\Documents\VLSIFinalPresentation-Repor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ndy\Documents\VLSIFinalPresentation-Repo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n-US" sz="950"/>
              <a:t>Normalized Freqency vs.</a:t>
            </a:r>
            <a:r>
              <a:rPr lang="en-US" sz="950" baseline="0"/>
              <a:t> Supply Bias for Ring Oscillator</a:t>
            </a:r>
            <a:endParaRPr lang="en-US" sz="950"/>
          </a:p>
        </c:rich>
      </c:tx>
      <c:layout>
        <c:manualLayout>
          <c:xMode val="edge"/>
          <c:yMode val="edge"/>
          <c:x val="0.180535965612994"/>
          <c:y val="0.0804322231850205"/>
        </c:manualLayout>
      </c:layout>
      <c:overlay val="0"/>
    </c:title>
    <c:autoTitleDeleted val="0"/>
    <c:plotArea>
      <c:layout/>
      <c:lineChart>
        <c:grouping val="standard"/>
        <c:varyColors val="0"/>
        <c:ser>
          <c:idx val="0"/>
          <c:order val="0"/>
          <c:marker>
            <c:symbol val="none"/>
          </c:marker>
          <c:cat>
            <c:numRef>
              <c:f>'VDD=1.1'!$E$4:$E$24</c:f>
              <c:numCache>
                <c:formatCode>General</c:formatCode>
                <c:ptCount val="21"/>
                <c:pt idx="0">
                  <c:v>-0.1</c:v>
                </c:pt>
                <c:pt idx="1">
                  <c:v>-0.09</c:v>
                </c:pt>
                <c:pt idx="2">
                  <c:v>-0.08</c:v>
                </c:pt>
                <c:pt idx="3">
                  <c:v>-0.07</c:v>
                </c:pt>
                <c:pt idx="4">
                  <c:v>-0.06</c:v>
                </c:pt>
                <c:pt idx="5">
                  <c:v>-0.05</c:v>
                </c:pt>
                <c:pt idx="6">
                  <c:v>-0.0399999999999999</c:v>
                </c:pt>
                <c:pt idx="7">
                  <c:v>-0.0299999999999999</c:v>
                </c:pt>
                <c:pt idx="8">
                  <c:v>-0.0199999999999999</c:v>
                </c:pt>
                <c:pt idx="9">
                  <c:v>-0.00999999999999991</c:v>
                </c:pt>
                <c:pt idx="10">
                  <c:v>0.0</c:v>
                </c:pt>
                <c:pt idx="11">
                  <c:v>0.01</c:v>
                </c:pt>
                <c:pt idx="12">
                  <c:v>0.02</c:v>
                </c:pt>
                <c:pt idx="13">
                  <c:v>0.03</c:v>
                </c:pt>
                <c:pt idx="14">
                  <c:v>0.04</c:v>
                </c:pt>
                <c:pt idx="15">
                  <c:v>0.05</c:v>
                </c:pt>
                <c:pt idx="16">
                  <c:v>0.06</c:v>
                </c:pt>
                <c:pt idx="17">
                  <c:v>0.07</c:v>
                </c:pt>
                <c:pt idx="18">
                  <c:v>0.08</c:v>
                </c:pt>
                <c:pt idx="19">
                  <c:v>0.09</c:v>
                </c:pt>
                <c:pt idx="20">
                  <c:v>0.1</c:v>
                </c:pt>
              </c:numCache>
            </c:numRef>
          </c:cat>
          <c:val>
            <c:numRef>
              <c:f>'VDD=1.1'!$J$19:$J$38</c:f>
              <c:numCache>
                <c:formatCode>General</c:formatCode>
                <c:ptCount val="20"/>
                <c:pt idx="0">
                  <c:v>0.726116150312169</c:v>
                </c:pt>
                <c:pt idx="1">
                  <c:v>0.757450818706561</c:v>
                </c:pt>
                <c:pt idx="2">
                  <c:v>0.788314289079986</c:v>
                </c:pt>
                <c:pt idx="3">
                  <c:v>0.818470962421958</c:v>
                </c:pt>
                <c:pt idx="4">
                  <c:v>0.847803039227235</c:v>
                </c:pt>
                <c:pt idx="5">
                  <c:v>0.876074920485334</c:v>
                </c:pt>
                <c:pt idx="6">
                  <c:v>0.903286606196254</c:v>
                </c:pt>
                <c:pt idx="7">
                  <c:v>0.929438096359995</c:v>
                </c:pt>
                <c:pt idx="8">
                  <c:v>0.954293791966074</c:v>
                </c:pt>
                <c:pt idx="9">
                  <c:v>0.977853693014489</c:v>
                </c:pt>
                <c:pt idx="10">
                  <c:v>1.0</c:v>
                </c:pt>
                <c:pt idx="11">
                  <c:v>1.020850512427848</c:v>
                </c:pt>
                <c:pt idx="12">
                  <c:v>1.040051831782307</c:v>
                </c:pt>
                <c:pt idx="13">
                  <c:v>1.057721757568618</c:v>
                </c:pt>
                <c:pt idx="14">
                  <c:v>1.073742490281541</c:v>
                </c:pt>
                <c:pt idx="15">
                  <c:v>1.087996230415832</c:v>
                </c:pt>
                <c:pt idx="16">
                  <c:v>1.100482977971493</c:v>
                </c:pt>
                <c:pt idx="17">
                  <c:v>1.111202732948522</c:v>
                </c:pt>
                <c:pt idx="18">
                  <c:v>1.120037695841678</c:v>
                </c:pt>
                <c:pt idx="19">
                  <c:v>1.127105666156202</c:v>
                </c:pt>
              </c:numCache>
            </c:numRef>
          </c:val>
          <c:smooth val="0"/>
        </c:ser>
        <c:dLbls>
          <c:showLegendKey val="0"/>
          <c:showVal val="0"/>
          <c:showCatName val="0"/>
          <c:showSerName val="0"/>
          <c:showPercent val="0"/>
          <c:showBubbleSize val="0"/>
        </c:dLbls>
        <c:marker val="1"/>
        <c:smooth val="0"/>
        <c:axId val="2082629080"/>
        <c:axId val="2082622328"/>
      </c:lineChart>
      <c:catAx>
        <c:axId val="2082629080"/>
        <c:scaling>
          <c:orientation val="minMax"/>
        </c:scaling>
        <c:delete val="0"/>
        <c:axPos val="b"/>
        <c:title>
          <c:tx>
            <c:rich>
              <a:bodyPr/>
              <a:lstStyle/>
              <a:p>
                <a:pPr>
                  <a:defRPr/>
                </a:pPr>
                <a:r>
                  <a:rPr lang="en-US"/>
                  <a:t>Bias (V)</a:t>
                </a:r>
              </a:p>
            </c:rich>
          </c:tx>
          <c:layout/>
          <c:overlay val="0"/>
        </c:title>
        <c:numFmt formatCode="General" sourceLinked="1"/>
        <c:majorTickMark val="out"/>
        <c:minorTickMark val="none"/>
        <c:tickLblPos val="nextTo"/>
        <c:crossAx val="2082622328"/>
        <c:crosses val="autoZero"/>
        <c:auto val="1"/>
        <c:lblAlgn val="ctr"/>
        <c:lblOffset val="100"/>
        <c:noMultiLvlLbl val="1"/>
      </c:catAx>
      <c:valAx>
        <c:axId val="2082622328"/>
        <c:scaling>
          <c:orientation val="minMax"/>
        </c:scaling>
        <c:delete val="0"/>
        <c:axPos val="l"/>
        <c:title>
          <c:tx>
            <c:rich>
              <a:bodyPr/>
              <a:lstStyle/>
              <a:p>
                <a:pPr>
                  <a:defRPr/>
                </a:pPr>
                <a:r>
                  <a:rPr lang="en-US"/>
                  <a:t>Normalized Frequency</a:t>
                </a:r>
              </a:p>
            </c:rich>
          </c:tx>
          <c:layout/>
          <c:overlay val="0"/>
        </c:title>
        <c:numFmt formatCode="General" sourceLinked="1"/>
        <c:majorTickMark val="out"/>
        <c:minorTickMark val="none"/>
        <c:tickLblPos val="nextTo"/>
        <c:crossAx val="2082629080"/>
        <c:crossesAt val="-0.15"/>
        <c:crossBetween val="between"/>
      </c:valAx>
    </c:plotArea>
    <c:plotVisOnly val="1"/>
    <c:dispBlanksAs val="gap"/>
    <c:showDLblsOverMax val="0"/>
  </c:chart>
  <c:spPr>
    <a:ln>
      <a:noFill/>
    </a:ln>
  </c:spPr>
  <c:txPr>
    <a:bodyPr/>
    <a:lstStyle/>
    <a:p>
      <a:pPr>
        <a:defRPr sz="800">
          <a:latin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lgn="ctr">
              <a:defRPr/>
            </a:pPr>
            <a:r>
              <a:rPr lang="en-US" sz="950">
                <a:solidFill>
                  <a:schemeClr val="tx1"/>
                </a:solidFill>
              </a:rPr>
              <a:t>Static Power vs. Supply Bias for Ring Oscillator</a:t>
            </a:r>
          </a:p>
        </c:rich>
      </c:tx>
      <c:layout>
        <c:manualLayout>
          <c:xMode val="edge"/>
          <c:yMode val="edge"/>
          <c:x val="0.18770598262846"/>
          <c:y val="0.136599409448819"/>
        </c:manualLayout>
      </c:layout>
      <c:overlay val="0"/>
    </c:title>
    <c:autoTitleDeleted val="0"/>
    <c:plotArea>
      <c:layout/>
      <c:lineChart>
        <c:grouping val="standard"/>
        <c:varyColors val="0"/>
        <c:ser>
          <c:idx val="0"/>
          <c:order val="0"/>
          <c:marker>
            <c:symbol val="none"/>
          </c:marker>
          <c:cat>
            <c:numRef>
              <c:f>'VDD=1.1'!$E$78:$E$98</c:f>
              <c:numCache>
                <c:formatCode>General</c:formatCode>
                <c:ptCount val="21"/>
                <c:pt idx="0">
                  <c:v>-0.1</c:v>
                </c:pt>
                <c:pt idx="1">
                  <c:v>-0.09</c:v>
                </c:pt>
                <c:pt idx="2">
                  <c:v>-0.08</c:v>
                </c:pt>
                <c:pt idx="3">
                  <c:v>-0.07</c:v>
                </c:pt>
                <c:pt idx="4">
                  <c:v>-0.06</c:v>
                </c:pt>
                <c:pt idx="5">
                  <c:v>-0.05</c:v>
                </c:pt>
                <c:pt idx="6">
                  <c:v>-0.0399999999999999</c:v>
                </c:pt>
                <c:pt idx="7">
                  <c:v>-0.0299999999999999</c:v>
                </c:pt>
                <c:pt idx="8">
                  <c:v>-0.0199999999999999</c:v>
                </c:pt>
                <c:pt idx="9">
                  <c:v>-0.00999999999999991</c:v>
                </c:pt>
                <c:pt idx="10">
                  <c:v>0.0</c:v>
                </c:pt>
                <c:pt idx="11">
                  <c:v>0.01</c:v>
                </c:pt>
                <c:pt idx="12">
                  <c:v>0.02</c:v>
                </c:pt>
                <c:pt idx="13">
                  <c:v>0.03</c:v>
                </c:pt>
                <c:pt idx="14">
                  <c:v>0.04</c:v>
                </c:pt>
                <c:pt idx="15">
                  <c:v>0.05</c:v>
                </c:pt>
                <c:pt idx="16">
                  <c:v>0.06</c:v>
                </c:pt>
                <c:pt idx="17">
                  <c:v>0.07</c:v>
                </c:pt>
                <c:pt idx="18">
                  <c:v>0.08</c:v>
                </c:pt>
                <c:pt idx="19">
                  <c:v>0.09</c:v>
                </c:pt>
                <c:pt idx="20">
                  <c:v>0.1</c:v>
                </c:pt>
              </c:numCache>
            </c:numRef>
          </c:cat>
          <c:val>
            <c:numRef>
              <c:f>'VDD=1.1'!$J$95:$J$115</c:f>
              <c:numCache>
                <c:formatCode>General</c:formatCode>
                <c:ptCount val="21"/>
                <c:pt idx="0">
                  <c:v>1.203623022242605</c:v>
                </c:pt>
                <c:pt idx="1">
                  <c:v>1.041045631735841</c:v>
                </c:pt>
                <c:pt idx="2">
                  <c:v>0.916303600091722</c:v>
                </c:pt>
                <c:pt idx="3">
                  <c:v>0.821829855537721</c:v>
                </c:pt>
                <c:pt idx="4">
                  <c:v>0.752808988764045</c:v>
                </c:pt>
                <c:pt idx="5">
                  <c:v>0.707177252923641</c:v>
                </c:pt>
                <c:pt idx="6">
                  <c:v>0.68493464801651</c:v>
                </c:pt>
                <c:pt idx="7">
                  <c:v>0.690208667736758</c:v>
                </c:pt>
                <c:pt idx="8">
                  <c:v>0.731483604677826</c:v>
                </c:pt>
                <c:pt idx="9">
                  <c:v>0.825269433616143</c:v>
                </c:pt>
                <c:pt idx="10">
                  <c:v>1.0</c:v>
                </c:pt>
                <c:pt idx="11">
                  <c:v>1.301994955285485</c:v>
                </c:pt>
                <c:pt idx="12">
                  <c:v>1.80577849117175</c:v>
                </c:pt>
                <c:pt idx="13">
                  <c:v>2.627837651914698</c:v>
                </c:pt>
                <c:pt idx="14">
                  <c:v>3.950928686081174</c:v>
                </c:pt>
                <c:pt idx="15">
                  <c:v>6.04907131391883</c:v>
                </c:pt>
                <c:pt idx="16">
                  <c:v>9.330428800733768</c:v>
                </c:pt>
                <c:pt idx="17">
                  <c:v>14.40036688832837</c:v>
                </c:pt>
                <c:pt idx="18">
                  <c:v>22.11190094015134</c:v>
                </c:pt>
                <c:pt idx="19">
                  <c:v>33.6620041274937</c:v>
                </c:pt>
                <c:pt idx="20">
                  <c:v>50.58472827333181</c:v>
                </c:pt>
              </c:numCache>
            </c:numRef>
          </c:val>
          <c:smooth val="1"/>
        </c:ser>
        <c:dLbls>
          <c:showLegendKey val="0"/>
          <c:showVal val="0"/>
          <c:showCatName val="0"/>
          <c:showSerName val="0"/>
          <c:showPercent val="0"/>
          <c:showBubbleSize val="0"/>
        </c:dLbls>
        <c:marker val="1"/>
        <c:smooth val="0"/>
        <c:axId val="2082559624"/>
        <c:axId val="2082554200"/>
      </c:lineChart>
      <c:catAx>
        <c:axId val="2082559624"/>
        <c:scaling>
          <c:orientation val="minMax"/>
        </c:scaling>
        <c:delete val="0"/>
        <c:axPos val="b"/>
        <c:title>
          <c:tx>
            <c:rich>
              <a:bodyPr/>
              <a:lstStyle/>
              <a:p>
                <a:pPr>
                  <a:defRPr/>
                </a:pPr>
                <a:r>
                  <a:rPr lang="en-US"/>
                  <a:t>Bias (V)</a:t>
                </a:r>
              </a:p>
            </c:rich>
          </c:tx>
          <c:layout/>
          <c:overlay val="0"/>
        </c:title>
        <c:numFmt formatCode="General" sourceLinked="1"/>
        <c:majorTickMark val="out"/>
        <c:minorTickMark val="none"/>
        <c:tickLblPos val="nextTo"/>
        <c:crossAx val="2082554200"/>
        <c:crosses val="autoZero"/>
        <c:auto val="1"/>
        <c:lblAlgn val="ctr"/>
        <c:lblOffset val="100"/>
        <c:noMultiLvlLbl val="1"/>
      </c:catAx>
      <c:valAx>
        <c:axId val="2082554200"/>
        <c:scaling>
          <c:orientation val="minMax"/>
        </c:scaling>
        <c:delete val="0"/>
        <c:axPos val="l"/>
        <c:title>
          <c:tx>
            <c:rich>
              <a:bodyPr/>
              <a:lstStyle/>
              <a:p>
                <a:pPr>
                  <a:defRPr/>
                </a:pPr>
                <a:r>
                  <a:rPr lang="en-US"/>
                  <a:t>Normalized Power</a:t>
                </a:r>
              </a:p>
            </c:rich>
          </c:tx>
          <c:layout>
            <c:manualLayout>
              <c:xMode val="edge"/>
              <c:yMode val="edge"/>
              <c:x val="0.0427350427350427"/>
              <c:y val="0.271062271062271"/>
            </c:manualLayout>
          </c:layout>
          <c:overlay val="0"/>
        </c:title>
        <c:numFmt formatCode="General" sourceLinked="1"/>
        <c:majorTickMark val="out"/>
        <c:minorTickMark val="none"/>
        <c:tickLblPos val="nextTo"/>
        <c:crossAx val="2082559624"/>
        <c:crossesAt val="-0.15"/>
        <c:crossBetween val="between"/>
      </c:valAx>
    </c:plotArea>
    <c:plotVisOnly val="1"/>
    <c:dispBlanksAs val="gap"/>
    <c:showDLblsOverMax val="0"/>
  </c:chart>
  <c:spPr>
    <a:ln>
      <a:noFill/>
    </a:ln>
  </c:spPr>
  <c:txPr>
    <a:bodyPr/>
    <a:lstStyle/>
    <a:p>
      <a:pPr>
        <a:defRPr sz="800">
          <a:latin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200"/>
            </a:pPr>
            <a:r>
              <a:rPr lang="en-US" sz="950"/>
              <a:t>Static Power vs. Reverse Bias for Ring Oscillator</a:t>
            </a:r>
          </a:p>
        </c:rich>
      </c:tx>
      <c:layout>
        <c:manualLayout>
          <c:xMode val="edge"/>
          <c:yMode val="edge"/>
          <c:x val="0.189238353172114"/>
          <c:y val="0.1070581257414"/>
        </c:manualLayout>
      </c:layout>
      <c:overlay val="0"/>
    </c:title>
    <c:autoTitleDeleted val="0"/>
    <c:plotArea>
      <c:layout/>
      <c:lineChart>
        <c:grouping val="standard"/>
        <c:varyColors val="0"/>
        <c:ser>
          <c:idx val="0"/>
          <c:order val="0"/>
          <c:marker>
            <c:symbol val="none"/>
          </c:marker>
          <c:cat>
            <c:numRef>
              <c:f>'VDD=1.1'!$E$78:$E$88</c:f>
              <c:numCache>
                <c:formatCode>General</c:formatCode>
                <c:ptCount val="11"/>
                <c:pt idx="0">
                  <c:v>-0.1</c:v>
                </c:pt>
                <c:pt idx="1">
                  <c:v>-0.09</c:v>
                </c:pt>
                <c:pt idx="2">
                  <c:v>-0.08</c:v>
                </c:pt>
                <c:pt idx="3">
                  <c:v>-0.07</c:v>
                </c:pt>
                <c:pt idx="4">
                  <c:v>-0.06</c:v>
                </c:pt>
                <c:pt idx="5">
                  <c:v>-0.05</c:v>
                </c:pt>
                <c:pt idx="6">
                  <c:v>-0.0399999999999999</c:v>
                </c:pt>
                <c:pt idx="7">
                  <c:v>-0.0299999999999999</c:v>
                </c:pt>
                <c:pt idx="8">
                  <c:v>-0.0199999999999999</c:v>
                </c:pt>
                <c:pt idx="9">
                  <c:v>-0.00999999999999991</c:v>
                </c:pt>
                <c:pt idx="10">
                  <c:v>0.0</c:v>
                </c:pt>
              </c:numCache>
            </c:numRef>
          </c:cat>
          <c:val>
            <c:numRef>
              <c:f>'VDD=1.1'!$J$95:$J$105</c:f>
              <c:numCache>
                <c:formatCode>General</c:formatCode>
                <c:ptCount val="11"/>
                <c:pt idx="0">
                  <c:v>1.203623022242605</c:v>
                </c:pt>
                <c:pt idx="1">
                  <c:v>1.041045631735841</c:v>
                </c:pt>
                <c:pt idx="2">
                  <c:v>0.916303600091722</c:v>
                </c:pt>
                <c:pt idx="3">
                  <c:v>0.821829855537721</c:v>
                </c:pt>
                <c:pt idx="4">
                  <c:v>0.752808988764045</c:v>
                </c:pt>
                <c:pt idx="5">
                  <c:v>0.707177252923641</c:v>
                </c:pt>
                <c:pt idx="6">
                  <c:v>0.68493464801651</c:v>
                </c:pt>
                <c:pt idx="7">
                  <c:v>0.690208667736758</c:v>
                </c:pt>
                <c:pt idx="8">
                  <c:v>0.731483604677826</c:v>
                </c:pt>
                <c:pt idx="9">
                  <c:v>0.825269433616143</c:v>
                </c:pt>
                <c:pt idx="10">
                  <c:v>1.0</c:v>
                </c:pt>
              </c:numCache>
            </c:numRef>
          </c:val>
          <c:smooth val="0"/>
        </c:ser>
        <c:dLbls>
          <c:showLegendKey val="0"/>
          <c:showVal val="0"/>
          <c:showCatName val="0"/>
          <c:showSerName val="0"/>
          <c:showPercent val="0"/>
          <c:showBubbleSize val="0"/>
        </c:dLbls>
        <c:marker val="1"/>
        <c:smooth val="0"/>
        <c:axId val="2082527112"/>
        <c:axId val="2082521640"/>
      </c:lineChart>
      <c:catAx>
        <c:axId val="2082527112"/>
        <c:scaling>
          <c:orientation val="minMax"/>
        </c:scaling>
        <c:delete val="0"/>
        <c:axPos val="b"/>
        <c:title>
          <c:tx>
            <c:rich>
              <a:bodyPr/>
              <a:lstStyle/>
              <a:p>
                <a:pPr>
                  <a:defRPr/>
                </a:pPr>
                <a:r>
                  <a:rPr lang="en-US"/>
                  <a:t>Bias (V)</a:t>
                </a:r>
              </a:p>
            </c:rich>
          </c:tx>
          <c:layout/>
          <c:overlay val="0"/>
        </c:title>
        <c:numFmt formatCode="General" sourceLinked="1"/>
        <c:majorTickMark val="out"/>
        <c:minorTickMark val="none"/>
        <c:tickLblPos val="nextTo"/>
        <c:crossAx val="2082521640"/>
        <c:crosses val="autoZero"/>
        <c:auto val="1"/>
        <c:lblAlgn val="ctr"/>
        <c:lblOffset val="100"/>
        <c:noMultiLvlLbl val="1"/>
      </c:catAx>
      <c:valAx>
        <c:axId val="2082521640"/>
        <c:scaling>
          <c:orientation val="minMax"/>
        </c:scaling>
        <c:delete val="0"/>
        <c:axPos val="l"/>
        <c:title>
          <c:tx>
            <c:rich>
              <a:bodyPr/>
              <a:lstStyle/>
              <a:p>
                <a:pPr>
                  <a:defRPr/>
                </a:pPr>
                <a:r>
                  <a:rPr lang="en-US"/>
                  <a:t>Normalized Static Power</a:t>
                </a:r>
              </a:p>
            </c:rich>
          </c:tx>
          <c:layout/>
          <c:overlay val="0"/>
        </c:title>
        <c:numFmt formatCode="General" sourceLinked="1"/>
        <c:majorTickMark val="out"/>
        <c:minorTickMark val="none"/>
        <c:tickLblPos val="nextTo"/>
        <c:crossAx val="2082527112"/>
        <c:crossesAt val="-0.15"/>
        <c:crossBetween val="between"/>
      </c:valAx>
    </c:plotArea>
    <c:plotVisOnly val="1"/>
    <c:dispBlanksAs val="gap"/>
    <c:showDLblsOverMax val="0"/>
  </c:chart>
  <c:spPr>
    <a:ln>
      <a:noFill/>
    </a:ln>
  </c:spPr>
  <c:txPr>
    <a:bodyPr/>
    <a:lstStyle/>
    <a:p>
      <a:pPr>
        <a:defRPr sz="800">
          <a:latin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900"/>
            </a:pPr>
            <a:r>
              <a:rPr lang="en-US" sz="950"/>
              <a:t>Normalized Delay vs. Supply bias for 8-Bit RCA</a:t>
            </a:r>
          </a:p>
        </c:rich>
      </c:tx>
      <c:layout>
        <c:manualLayout>
          <c:xMode val="edge"/>
          <c:yMode val="edge"/>
          <c:x val="0.186517770467048"/>
          <c:y val="0.0878530948765933"/>
        </c:manualLayout>
      </c:layout>
      <c:overlay val="0"/>
    </c:title>
    <c:autoTitleDeleted val="0"/>
    <c:plotArea>
      <c:layout/>
      <c:lineChart>
        <c:grouping val="standard"/>
        <c:varyColors val="0"/>
        <c:ser>
          <c:idx val="0"/>
          <c:order val="0"/>
          <c:tx>
            <c:strRef>
              <c:f>Sheet1!$B$6</c:f>
              <c:strCache>
                <c:ptCount val="1"/>
                <c:pt idx="0">
                  <c:v>Delay (ps)</c:v>
                </c:pt>
              </c:strCache>
            </c:strRef>
          </c:tx>
          <c:marker>
            <c:symbol val="none"/>
          </c:marker>
          <c:cat>
            <c:numRef>
              <c:f>Sheet1!$A$7:$A$27</c:f>
              <c:numCache>
                <c:formatCode>General</c:formatCode>
                <c:ptCount val="21"/>
                <c:pt idx="0">
                  <c:v>-100.0</c:v>
                </c:pt>
                <c:pt idx="1">
                  <c:v>-90.0</c:v>
                </c:pt>
                <c:pt idx="2">
                  <c:v>-80.0</c:v>
                </c:pt>
                <c:pt idx="3">
                  <c:v>-70.0</c:v>
                </c:pt>
                <c:pt idx="4">
                  <c:v>-60.0</c:v>
                </c:pt>
                <c:pt idx="5">
                  <c:v>-50.0</c:v>
                </c:pt>
                <c:pt idx="6">
                  <c:v>-40.0</c:v>
                </c:pt>
                <c:pt idx="7">
                  <c:v>-30.0</c:v>
                </c:pt>
                <c:pt idx="8">
                  <c:v>-20.0</c:v>
                </c:pt>
                <c:pt idx="9">
                  <c:v>-10.0</c:v>
                </c:pt>
                <c:pt idx="10">
                  <c:v>0.0</c:v>
                </c:pt>
                <c:pt idx="11">
                  <c:v>10.0</c:v>
                </c:pt>
                <c:pt idx="12">
                  <c:v>20.0</c:v>
                </c:pt>
                <c:pt idx="13">
                  <c:v>30.0</c:v>
                </c:pt>
                <c:pt idx="14">
                  <c:v>40.0</c:v>
                </c:pt>
                <c:pt idx="15">
                  <c:v>50.0</c:v>
                </c:pt>
                <c:pt idx="16">
                  <c:v>60.0</c:v>
                </c:pt>
                <c:pt idx="17">
                  <c:v>70.0</c:v>
                </c:pt>
                <c:pt idx="18">
                  <c:v>80.0</c:v>
                </c:pt>
                <c:pt idx="19">
                  <c:v>90.0</c:v>
                </c:pt>
                <c:pt idx="20">
                  <c:v>100.0</c:v>
                </c:pt>
              </c:numCache>
            </c:numRef>
          </c:cat>
          <c:val>
            <c:numRef>
              <c:f>Sheet1!$D$7:$D$27</c:f>
              <c:numCache>
                <c:formatCode>General</c:formatCode>
                <c:ptCount val="21"/>
                <c:pt idx="0">
                  <c:v>1.422413793103448</c:v>
                </c:pt>
                <c:pt idx="1">
                  <c:v>1.353448275862069</c:v>
                </c:pt>
                <c:pt idx="2">
                  <c:v>1.293103448275862</c:v>
                </c:pt>
                <c:pt idx="3">
                  <c:v>1.241379310344827</c:v>
                </c:pt>
                <c:pt idx="4">
                  <c:v>1.189655172413793</c:v>
                </c:pt>
                <c:pt idx="5">
                  <c:v>1.146551724137931</c:v>
                </c:pt>
                <c:pt idx="6">
                  <c:v>1.112068965517242</c:v>
                </c:pt>
                <c:pt idx="7">
                  <c:v>1.077586206896552</c:v>
                </c:pt>
                <c:pt idx="8">
                  <c:v>1.051724137931034</c:v>
                </c:pt>
                <c:pt idx="9">
                  <c:v>1.025862068965517</c:v>
                </c:pt>
                <c:pt idx="10">
                  <c:v>1.0</c:v>
                </c:pt>
                <c:pt idx="11">
                  <c:v>0.974137931034483</c:v>
                </c:pt>
                <c:pt idx="12">
                  <c:v>0.956896551724138</c:v>
                </c:pt>
                <c:pt idx="13">
                  <c:v>0.939655172413793</c:v>
                </c:pt>
                <c:pt idx="14">
                  <c:v>0.922413793103448</c:v>
                </c:pt>
                <c:pt idx="15">
                  <c:v>0.905172413793104</c:v>
                </c:pt>
                <c:pt idx="16">
                  <c:v>0.896551724137931</c:v>
                </c:pt>
                <c:pt idx="17">
                  <c:v>0.887931034482759</c:v>
                </c:pt>
                <c:pt idx="18">
                  <c:v>0.870689655172414</c:v>
                </c:pt>
                <c:pt idx="19">
                  <c:v>0.870689655172414</c:v>
                </c:pt>
                <c:pt idx="20">
                  <c:v>0.862068965517241</c:v>
                </c:pt>
              </c:numCache>
            </c:numRef>
          </c:val>
          <c:smooth val="0"/>
        </c:ser>
        <c:dLbls>
          <c:showLegendKey val="0"/>
          <c:showVal val="0"/>
          <c:showCatName val="0"/>
          <c:showSerName val="0"/>
          <c:showPercent val="0"/>
          <c:showBubbleSize val="0"/>
        </c:dLbls>
        <c:marker val="1"/>
        <c:smooth val="0"/>
        <c:axId val="2082490376"/>
        <c:axId val="2082484936"/>
      </c:lineChart>
      <c:catAx>
        <c:axId val="2082490376"/>
        <c:scaling>
          <c:orientation val="minMax"/>
        </c:scaling>
        <c:delete val="0"/>
        <c:axPos val="b"/>
        <c:title>
          <c:tx>
            <c:rich>
              <a:bodyPr/>
              <a:lstStyle/>
              <a:p>
                <a:pPr>
                  <a:defRPr/>
                </a:pPr>
                <a:r>
                  <a:rPr lang="en-US"/>
                  <a:t>Bias (mV)</a:t>
                </a:r>
              </a:p>
            </c:rich>
          </c:tx>
          <c:layout/>
          <c:overlay val="0"/>
        </c:title>
        <c:numFmt formatCode="General" sourceLinked="1"/>
        <c:majorTickMark val="out"/>
        <c:minorTickMark val="none"/>
        <c:tickLblPos val="nextTo"/>
        <c:crossAx val="2082484936"/>
        <c:crosses val="autoZero"/>
        <c:auto val="1"/>
        <c:lblAlgn val="ctr"/>
        <c:lblOffset val="100"/>
        <c:noMultiLvlLbl val="1"/>
      </c:catAx>
      <c:valAx>
        <c:axId val="2082484936"/>
        <c:scaling>
          <c:orientation val="minMax"/>
        </c:scaling>
        <c:delete val="0"/>
        <c:axPos val="l"/>
        <c:title>
          <c:tx>
            <c:rich>
              <a:bodyPr/>
              <a:lstStyle/>
              <a:p>
                <a:pPr>
                  <a:defRPr/>
                </a:pPr>
                <a:r>
                  <a:rPr lang="en-US"/>
                  <a:t>Normalized Delay</a:t>
                </a:r>
              </a:p>
            </c:rich>
          </c:tx>
          <c:layout/>
          <c:overlay val="0"/>
        </c:title>
        <c:numFmt formatCode="General" sourceLinked="1"/>
        <c:majorTickMark val="out"/>
        <c:minorTickMark val="none"/>
        <c:tickLblPos val="nextTo"/>
        <c:crossAx val="2082490376"/>
        <c:crossesAt val="-150.0"/>
        <c:crossBetween val="between"/>
      </c:valAx>
    </c:plotArea>
    <c:plotVisOnly val="1"/>
    <c:dispBlanksAs val="gap"/>
    <c:showDLblsOverMax val="0"/>
  </c:chart>
  <c:spPr>
    <a:ln>
      <a:noFill/>
    </a:ln>
  </c:spPr>
  <c:txPr>
    <a:bodyPr/>
    <a:lstStyle/>
    <a:p>
      <a:pPr>
        <a:defRPr sz="800">
          <a:latin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n-US" sz="950"/>
              <a:t>Static Power vs. Reverse Supply Bias for 8-Bit RCA</a:t>
            </a:r>
          </a:p>
        </c:rich>
      </c:tx>
      <c:layout>
        <c:manualLayout>
          <c:xMode val="edge"/>
          <c:yMode val="edge"/>
          <c:x val="0.150026175006813"/>
          <c:y val="0.0962695547533092"/>
        </c:manualLayout>
      </c:layout>
      <c:overlay val="0"/>
    </c:title>
    <c:autoTitleDeleted val="0"/>
    <c:plotArea>
      <c:layout/>
      <c:lineChart>
        <c:grouping val="standard"/>
        <c:varyColors val="0"/>
        <c:ser>
          <c:idx val="0"/>
          <c:order val="0"/>
          <c:marker>
            <c:symbol val="none"/>
          </c:marker>
          <c:cat>
            <c:numRef>
              <c:f>Sheet1!$A$32:$A$42</c:f>
              <c:numCache>
                <c:formatCode>General</c:formatCode>
                <c:ptCount val="11"/>
                <c:pt idx="0">
                  <c:v>-100.0</c:v>
                </c:pt>
                <c:pt idx="1">
                  <c:v>-90.0</c:v>
                </c:pt>
                <c:pt idx="2">
                  <c:v>-80.0</c:v>
                </c:pt>
                <c:pt idx="3">
                  <c:v>-70.0</c:v>
                </c:pt>
                <c:pt idx="4">
                  <c:v>-60.0</c:v>
                </c:pt>
                <c:pt idx="5">
                  <c:v>-50.0</c:v>
                </c:pt>
                <c:pt idx="6">
                  <c:v>-40.0</c:v>
                </c:pt>
                <c:pt idx="7">
                  <c:v>-30.0</c:v>
                </c:pt>
                <c:pt idx="8">
                  <c:v>-20.0</c:v>
                </c:pt>
                <c:pt idx="9">
                  <c:v>-10.0</c:v>
                </c:pt>
                <c:pt idx="10">
                  <c:v>0.0</c:v>
                </c:pt>
              </c:numCache>
            </c:numRef>
          </c:cat>
          <c:val>
            <c:numRef>
              <c:f>Sheet1!$D$32:$D$42</c:f>
              <c:numCache>
                <c:formatCode>0.0000</c:formatCode>
                <c:ptCount val="11"/>
                <c:pt idx="0">
                  <c:v>0.85452736318408</c:v>
                </c:pt>
                <c:pt idx="1">
                  <c:v>0.774925373134328</c:v>
                </c:pt>
                <c:pt idx="2">
                  <c:v>0.713830845771144</c:v>
                </c:pt>
                <c:pt idx="3">
                  <c:v>0.668457711442786</c:v>
                </c:pt>
                <c:pt idx="4">
                  <c:v>0.637611940298508</c:v>
                </c:pt>
                <c:pt idx="5">
                  <c:v>0.621293532338309</c:v>
                </c:pt>
                <c:pt idx="6">
                  <c:v>0.621890547263682</c:v>
                </c:pt>
                <c:pt idx="7">
                  <c:v>0.645174129353234</c:v>
                </c:pt>
                <c:pt idx="8">
                  <c:v>0.701492537313433</c:v>
                </c:pt>
                <c:pt idx="9">
                  <c:v>0.809353233830846</c:v>
                </c:pt>
                <c:pt idx="10">
                  <c:v>1.0</c:v>
                </c:pt>
              </c:numCache>
            </c:numRef>
          </c:val>
          <c:smooth val="0"/>
        </c:ser>
        <c:dLbls>
          <c:showLegendKey val="0"/>
          <c:showVal val="0"/>
          <c:showCatName val="0"/>
          <c:showSerName val="0"/>
          <c:showPercent val="0"/>
          <c:showBubbleSize val="0"/>
        </c:dLbls>
        <c:marker val="1"/>
        <c:smooth val="0"/>
        <c:axId val="2081018632"/>
        <c:axId val="2081024120"/>
      </c:lineChart>
      <c:catAx>
        <c:axId val="2081018632"/>
        <c:scaling>
          <c:orientation val="minMax"/>
        </c:scaling>
        <c:delete val="0"/>
        <c:axPos val="b"/>
        <c:title>
          <c:tx>
            <c:rich>
              <a:bodyPr/>
              <a:lstStyle/>
              <a:p>
                <a:pPr>
                  <a:defRPr/>
                </a:pPr>
                <a:r>
                  <a:rPr lang="en-US"/>
                  <a:t>Bias (mV)</a:t>
                </a:r>
              </a:p>
            </c:rich>
          </c:tx>
          <c:layout/>
          <c:overlay val="0"/>
        </c:title>
        <c:numFmt formatCode="General" sourceLinked="1"/>
        <c:majorTickMark val="out"/>
        <c:minorTickMark val="none"/>
        <c:tickLblPos val="nextTo"/>
        <c:crossAx val="2081024120"/>
        <c:crosses val="autoZero"/>
        <c:auto val="1"/>
        <c:lblAlgn val="ctr"/>
        <c:lblOffset val="100"/>
        <c:noMultiLvlLbl val="1"/>
      </c:catAx>
      <c:valAx>
        <c:axId val="2081024120"/>
        <c:scaling>
          <c:orientation val="minMax"/>
        </c:scaling>
        <c:delete val="0"/>
        <c:axPos val="l"/>
        <c:title>
          <c:tx>
            <c:rich>
              <a:bodyPr/>
              <a:lstStyle/>
              <a:p>
                <a:pPr>
                  <a:defRPr/>
                </a:pPr>
                <a:r>
                  <a:rPr lang="en-US"/>
                  <a:t>Normalized Static Power</a:t>
                </a:r>
              </a:p>
            </c:rich>
          </c:tx>
          <c:layout/>
          <c:overlay val="0"/>
        </c:title>
        <c:numFmt formatCode="0.0" sourceLinked="0"/>
        <c:majorTickMark val="out"/>
        <c:minorTickMark val="none"/>
        <c:tickLblPos val="nextTo"/>
        <c:crossAx val="2081018632"/>
        <c:crossesAt val="-150.0"/>
        <c:crossBetween val="between"/>
      </c:valAx>
    </c:plotArea>
    <c:plotVisOnly val="1"/>
    <c:dispBlanksAs val="gap"/>
    <c:showDLblsOverMax val="0"/>
  </c:chart>
  <c:spPr>
    <a:ln>
      <a:noFill/>
    </a:ln>
  </c:spPr>
  <c:txPr>
    <a:bodyPr/>
    <a:lstStyle/>
    <a:p>
      <a:pPr>
        <a:defRPr sz="800">
          <a:latin typeface="Times New Roman"/>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n-US" sz="950"/>
              <a:t>Switching Power vs. Supply Bias for 8-Bit RCA</a:t>
            </a:r>
          </a:p>
        </c:rich>
      </c:tx>
      <c:layout>
        <c:manualLayout>
          <c:xMode val="edge"/>
          <c:yMode val="edge"/>
          <c:x val="0.165240063989363"/>
          <c:y val="0.105158886389201"/>
        </c:manualLayout>
      </c:layout>
      <c:overlay val="0"/>
    </c:title>
    <c:autoTitleDeleted val="0"/>
    <c:plotArea>
      <c:layout/>
      <c:lineChart>
        <c:grouping val="standard"/>
        <c:varyColors val="0"/>
        <c:ser>
          <c:idx val="0"/>
          <c:order val="0"/>
          <c:marker>
            <c:symbol val="none"/>
          </c:marker>
          <c:cat>
            <c:numRef>
              <c:f>Sheet1!$A$57:$A$77</c:f>
              <c:numCache>
                <c:formatCode>General</c:formatCode>
                <c:ptCount val="21"/>
                <c:pt idx="0">
                  <c:v>-100.0</c:v>
                </c:pt>
                <c:pt idx="1">
                  <c:v>-90.0</c:v>
                </c:pt>
                <c:pt idx="2">
                  <c:v>-80.0</c:v>
                </c:pt>
                <c:pt idx="3">
                  <c:v>-70.0</c:v>
                </c:pt>
                <c:pt idx="4">
                  <c:v>-60.0</c:v>
                </c:pt>
                <c:pt idx="5">
                  <c:v>-50.0</c:v>
                </c:pt>
                <c:pt idx="6">
                  <c:v>-40.0</c:v>
                </c:pt>
                <c:pt idx="7">
                  <c:v>-30.0</c:v>
                </c:pt>
                <c:pt idx="8">
                  <c:v>-20.0</c:v>
                </c:pt>
                <c:pt idx="9">
                  <c:v>-10.0</c:v>
                </c:pt>
                <c:pt idx="10">
                  <c:v>0.0</c:v>
                </c:pt>
                <c:pt idx="11">
                  <c:v>10.0</c:v>
                </c:pt>
                <c:pt idx="12">
                  <c:v>20.0</c:v>
                </c:pt>
                <c:pt idx="13">
                  <c:v>30.0</c:v>
                </c:pt>
                <c:pt idx="14">
                  <c:v>40.0</c:v>
                </c:pt>
                <c:pt idx="15">
                  <c:v>50.0</c:v>
                </c:pt>
                <c:pt idx="16">
                  <c:v>60.0</c:v>
                </c:pt>
                <c:pt idx="17">
                  <c:v>70.0</c:v>
                </c:pt>
                <c:pt idx="18">
                  <c:v>80.0</c:v>
                </c:pt>
                <c:pt idx="19">
                  <c:v>90.0</c:v>
                </c:pt>
                <c:pt idx="20">
                  <c:v>100.0</c:v>
                </c:pt>
              </c:numCache>
            </c:numRef>
          </c:cat>
          <c:val>
            <c:numRef>
              <c:f>Sheet1!$D$57:$D$77</c:f>
              <c:numCache>
                <c:formatCode>0.0000</c:formatCode>
                <c:ptCount val="21"/>
                <c:pt idx="0">
                  <c:v>0.659763779527559</c:v>
                </c:pt>
                <c:pt idx="1">
                  <c:v>0.673858267716535</c:v>
                </c:pt>
                <c:pt idx="2">
                  <c:v>0.691653543307087</c:v>
                </c:pt>
                <c:pt idx="3">
                  <c:v>0.713700787401575</c:v>
                </c:pt>
                <c:pt idx="4">
                  <c:v>0.740314960629921</c:v>
                </c:pt>
                <c:pt idx="5">
                  <c:v>0.771653543307087</c:v>
                </c:pt>
                <c:pt idx="6">
                  <c:v>0.807874015748031</c:v>
                </c:pt>
                <c:pt idx="7">
                  <c:v>0.848818897637795</c:v>
                </c:pt>
                <c:pt idx="8">
                  <c:v>0.893700787401575</c:v>
                </c:pt>
                <c:pt idx="9">
                  <c:v>0.944094488188976</c:v>
                </c:pt>
                <c:pt idx="10">
                  <c:v>1.0</c:v>
                </c:pt>
                <c:pt idx="11">
                  <c:v>1.06220472440945</c:v>
                </c:pt>
                <c:pt idx="12">
                  <c:v>1.13228346456693</c:v>
                </c:pt>
                <c:pt idx="13">
                  <c:v>1.208661417322834</c:v>
                </c:pt>
                <c:pt idx="14">
                  <c:v>1.293700787401574</c:v>
                </c:pt>
                <c:pt idx="15">
                  <c:v>1.389763779527559</c:v>
                </c:pt>
                <c:pt idx="16">
                  <c:v>1.499212598425197</c:v>
                </c:pt>
                <c:pt idx="17">
                  <c:v>1.624409448818898</c:v>
                </c:pt>
                <c:pt idx="18">
                  <c:v>1.77244094488189</c:v>
                </c:pt>
                <c:pt idx="19">
                  <c:v>1.949606299212598</c:v>
                </c:pt>
                <c:pt idx="20">
                  <c:v>2.167716535433071</c:v>
                </c:pt>
              </c:numCache>
            </c:numRef>
          </c:val>
          <c:smooth val="0"/>
        </c:ser>
        <c:dLbls>
          <c:showLegendKey val="0"/>
          <c:showVal val="0"/>
          <c:showCatName val="0"/>
          <c:showSerName val="0"/>
          <c:showPercent val="0"/>
          <c:showBubbleSize val="0"/>
        </c:dLbls>
        <c:marker val="1"/>
        <c:smooth val="0"/>
        <c:axId val="2081052360"/>
        <c:axId val="2081057752"/>
      </c:lineChart>
      <c:catAx>
        <c:axId val="2081052360"/>
        <c:scaling>
          <c:orientation val="minMax"/>
        </c:scaling>
        <c:delete val="0"/>
        <c:axPos val="b"/>
        <c:title>
          <c:tx>
            <c:rich>
              <a:bodyPr/>
              <a:lstStyle/>
              <a:p>
                <a:pPr>
                  <a:defRPr/>
                </a:pPr>
                <a:r>
                  <a:rPr lang="en-US"/>
                  <a:t>Bias (mV)</a:t>
                </a:r>
              </a:p>
            </c:rich>
          </c:tx>
          <c:layout/>
          <c:overlay val="0"/>
        </c:title>
        <c:numFmt formatCode="General" sourceLinked="1"/>
        <c:majorTickMark val="out"/>
        <c:minorTickMark val="none"/>
        <c:tickLblPos val="nextTo"/>
        <c:crossAx val="2081057752"/>
        <c:crosses val="autoZero"/>
        <c:auto val="1"/>
        <c:lblAlgn val="ctr"/>
        <c:lblOffset val="100"/>
        <c:noMultiLvlLbl val="1"/>
      </c:catAx>
      <c:valAx>
        <c:axId val="2081057752"/>
        <c:scaling>
          <c:orientation val="minMax"/>
        </c:scaling>
        <c:delete val="0"/>
        <c:axPos val="l"/>
        <c:title>
          <c:tx>
            <c:rich>
              <a:bodyPr/>
              <a:lstStyle/>
              <a:p>
                <a:pPr>
                  <a:defRPr/>
                </a:pPr>
                <a:r>
                  <a:rPr lang="en-US"/>
                  <a:t>Normalized Power</a:t>
                </a:r>
              </a:p>
            </c:rich>
          </c:tx>
          <c:layout/>
          <c:overlay val="0"/>
        </c:title>
        <c:numFmt formatCode="0.0" sourceLinked="0"/>
        <c:majorTickMark val="out"/>
        <c:minorTickMark val="none"/>
        <c:tickLblPos val="nextTo"/>
        <c:crossAx val="2081052360"/>
        <c:crossesAt val="-150.0"/>
        <c:crossBetween val="between"/>
      </c:valAx>
    </c:plotArea>
    <c:plotVisOnly val="1"/>
    <c:dispBlanksAs val="gap"/>
    <c:showDLblsOverMax val="0"/>
  </c:chart>
  <c:spPr>
    <a:ln>
      <a:noFill/>
    </a:ln>
  </c:spPr>
  <c:txPr>
    <a:bodyPr/>
    <a:lstStyle/>
    <a:p>
      <a:pPr>
        <a:defRPr sz="800">
          <a:latin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558</TotalTime>
  <Pages>4</Pages>
  <Words>2574</Words>
  <Characters>14676</Characters>
  <Application>Microsoft Macintosh Word</Application>
  <DocSecurity>0</DocSecurity>
  <Lines>122</Lines>
  <Paragraphs>34</Paragraphs>
  <ScaleCrop>false</ScaleCrop>
  <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Weinberg</dc:creator>
  <cp:keywords/>
  <dc:description/>
  <cp:lastModifiedBy>Elena Weinberg</cp:lastModifiedBy>
  <cp:revision>546</cp:revision>
  <dcterms:created xsi:type="dcterms:W3CDTF">2013-12-04T17:46:00Z</dcterms:created>
  <dcterms:modified xsi:type="dcterms:W3CDTF">2013-12-09T16:22:00Z</dcterms:modified>
</cp:coreProperties>
</file>